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C61" w:rsidRPr="003039BB" w:rsidRDefault="00FA2C61" w:rsidP="00FA2C61">
      <w:pPr>
        <w:pStyle w:val="Titre1"/>
        <w:numPr>
          <w:ilvl w:val="0"/>
          <w:numId w:val="0"/>
        </w:numPr>
        <w:pBdr>
          <w:top w:val="single" w:sz="4" w:space="1" w:color="auto" w:shadow="1"/>
          <w:left w:val="single" w:sz="4" w:space="4" w:color="auto" w:shadow="1"/>
          <w:bottom w:val="single" w:sz="4" w:space="1" w:color="auto" w:shadow="1"/>
          <w:right w:val="single" w:sz="4" w:space="4" w:color="auto" w:shadow="1"/>
        </w:pBdr>
        <w:shd w:val="clear" w:color="auto" w:fill="E6E6E6"/>
        <w:ind w:left="426"/>
        <w:jc w:val="center"/>
      </w:pPr>
      <w:bookmarkStart w:id="0" w:name="_Toc349227000"/>
      <w:r>
        <w:t xml:space="preserve">ANNEXE– DEMATERIALISATION DE </w:t>
      </w:r>
      <w:smartTag w:uri="urn:schemas-microsoft-com:office:smarttags" w:element="metricconverter">
        <w:smartTagPr>
          <w:attr w:name="ProductID" w:val="LA PROCEDURE"/>
        </w:smartTagPr>
        <w:r>
          <w:t>LA PROCEDURE</w:t>
        </w:r>
      </w:smartTag>
      <w:bookmarkEnd w:id="0"/>
    </w:p>
    <w:p w:rsidR="00FA2C61" w:rsidRPr="00F603A9" w:rsidRDefault="00C565D8" w:rsidP="00FA2C61">
      <w:pPr>
        <w:rPr>
          <w:rFonts w:cs="Arial"/>
          <w:szCs w:val="22"/>
          <w:u w:val="single"/>
        </w:rPr>
      </w:pPr>
      <w:r>
        <w:rPr>
          <w:rFonts w:cs="Arial"/>
          <w:szCs w:val="22"/>
          <w:u w:val="single"/>
        </w:rPr>
        <w:t xml:space="preserve">  </w:t>
      </w:r>
      <w:bookmarkStart w:id="1" w:name="_GoBack"/>
      <w:bookmarkEnd w:id="1"/>
    </w:p>
    <w:p w:rsidR="00FA2C61" w:rsidRPr="00F603A9" w:rsidRDefault="00FA2C61" w:rsidP="00FA2C61">
      <w:pPr>
        <w:jc w:val="center"/>
        <w:rPr>
          <w:rFonts w:cs="Arial"/>
          <w:b/>
          <w:szCs w:val="22"/>
          <w:u w:val="single"/>
        </w:rPr>
      </w:pPr>
      <w:r w:rsidRPr="00F603A9">
        <w:rPr>
          <w:rFonts w:cs="Arial"/>
          <w:b/>
          <w:szCs w:val="22"/>
          <w:u w:val="single"/>
        </w:rPr>
        <w:t>- Dématérialisation de la procédure -</w:t>
      </w:r>
    </w:p>
    <w:p w:rsidR="00FA2C61" w:rsidRPr="00F603A9" w:rsidRDefault="00FA2C61" w:rsidP="00FA2C61">
      <w:pPr>
        <w:rPr>
          <w:rFonts w:cs="Arial"/>
          <w:bCs/>
          <w:szCs w:val="22"/>
        </w:rPr>
      </w:pPr>
    </w:p>
    <w:p w:rsidR="00FA2C61" w:rsidRPr="00F603A9" w:rsidRDefault="00FA2C61" w:rsidP="00FA2C61">
      <w:pPr>
        <w:rPr>
          <w:rFonts w:cs="Arial"/>
          <w:b/>
          <w:bCs/>
          <w:szCs w:val="22"/>
          <w:u w:val="single"/>
        </w:rPr>
      </w:pPr>
      <w:r w:rsidRPr="00F603A9">
        <w:rPr>
          <w:rFonts w:cs="Arial"/>
          <w:b/>
          <w:bCs/>
          <w:szCs w:val="22"/>
          <w:u w:val="single"/>
        </w:rPr>
        <w:t>Préambule</w:t>
      </w:r>
    </w:p>
    <w:p w:rsidR="00FA2C61" w:rsidRPr="006D2D15" w:rsidRDefault="00FA2C61" w:rsidP="006D2D15">
      <w:pPr>
        <w:jc w:val="both"/>
        <w:rPr>
          <w:rStyle w:val="Lienhypertexte"/>
          <w:rFonts w:cs="Arial"/>
          <w:color w:val="auto"/>
          <w:szCs w:val="22"/>
          <w:u w:val="none"/>
        </w:rPr>
      </w:pPr>
      <w:r w:rsidRPr="00F603A9">
        <w:rPr>
          <w:rFonts w:cs="Arial"/>
          <w:szCs w:val="22"/>
        </w:rPr>
        <w:t xml:space="preserve">Le CEA dispose d’une plateforme de dématérialisation des procédures de passation de ses marchés accessible sur l’URL suivante : </w:t>
      </w:r>
      <w:hyperlink r:id="rId5" w:history="1">
        <w:r w:rsidR="006D2D15" w:rsidRPr="00DA4ADA">
          <w:rPr>
            <w:rStyle w:val="Lienhypertexte"/>
            <w:rFonts w:cs="Arial"/>
            <w:szCs w:val="22"/>
          </w:rPr>
          <w:t>https://www.marches-publics.gouv.fr</w:t>
        </w:r>
      </w:hyperlink>
    </w:p>
    <w:p w:rsidR="00FA2C61" w:rsidRDefault="00FA2C61" w:rsidP="00FA2C61">
      <w:pPr>
        <w:pStyle w:val="P1paragraphe1"/>
        <w:spacing w:before="0" w:line="240" w:lineRule="auto"/>
        <w:ind w:left="0"/>
        <w:rPr>
          <w:rFonts w:ascii="Arial" w:hAnsi="Arial" w:cs="Arial"/>
          <w:sz w:val="22"/>
          <w:szCs w:val="22"/>
        </w:rPr>
      </w:pPr>
    </w:p>
    <w:p w:rsidR="00FA2C61" w:rsidRPr="00F603A9"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Cette plateforme de dématérialisation permet notamment de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rechercher les consultations mises en ligne par le CEA,</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télécharger les Dossiers de Consultation des Entreprises (DCE),</w:t>
      </w:r>
    </w:p>
    <w:p w:rsidR="00F31D3C" w:rsidRPr="00F31D3C" w:rsidRDefault="00FA2C61" w:rsidP="00F31D3C">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répondre de façon électronique et sécurisée aux consultations,</w:t>
      </w:r>
    </w:p>
    <w:p w:rsidR="00F31D3C" w:rsidRPr="00F31D3C" w:rsidRDefault="00F31D3C" w:rsidP="00F31D3C">
      <w:pPr>
        <w:pStyle w:val="Default"/>
        <w:numPr>
          <w:ilvl w:val="0"/>
          <w:numId w:val="2"/>
        </w:numPr>
        <w:rPr>
          <w:sz w:val="22"/>
          <w:szCs w:val="22"/>
        </w:rPr>
      </w:pPr>
      <w:r>
        <w:rPr>
          <w:sz w:val="22"/>
          <w:szCs w:val="22"/>
        </w:rPr>
        <w:t>paramétrer des alertes pour recevoir automatiquement des mails sur les nouvelles consultations en fonction des critères qui vous intéressent (localisation, mot-clé, code CPV,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poser des questions sur les consultations en ligne.</w:t>
      </w:r>
    </w:p>
    <w:p w:rsidR="00FA2C61" w:rsidRDefault="00FA2C61" w:rsidP="00FA2C61">
      <w:pPr>
        <w:pStyle w:val="P1paragraphe1"/>
        <w:spacing w:before="0" w:line="240" w:lineRule="auto"/>
        <w:ind w:left="0"/>
        <w:rPr>
          <w:rFonts w:ascii="Arial" w:hAnsi="Arial" w:cs="Arial"/>
          <w:sz w:val="22"/>
          <w:szCs w:val="22"/>
        </w:rPr>
      </w:pPr>
    </w:p>
    <w:p w:rsidR="00D0059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 xml:space="preserve">L’accès à la plateforme est gratuit. Les échanges d’informations entre le CEA et les utilisateurs sont sécurisés grâce à l’utilisation du protocole https. </w:t>
      </w:r>
    </w:p>
    <w:p w:rsidR="00D00591" w:rsidRDefault="00D00591" w:rsidP="00FA2C61">
      <w:pPr>
        <w:pStyle w:val="P1paragraphe1"/>
        <w:spacing w:before="0" w:line="240" w:lineRule="auto"/>
        <w:ind w:left="0"/>
        <w:rPr>
          <w:rFonts w:ascii="Arial" w:hAnsi="Arial" w:cs="Arial"/>
          <w:sz w:val="22"/>
          <w:szCs w:val="22"/>
        </w:rPr>
      </w:pPr>
    </w:p>
    <w:p w:rsidR="00FA2C6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Un « Guide d’utilisation à destination des opérateurs économiques » est disponible en ligne dans la rubrique « Aide ». Pour une meilleure utilisation de la plateforme, il est recommandé de lire et de suivre ce guide.</w:t>
      </w:r>
    </w:p>
    <w:p w:rsidR="00D00591" w:rsidRDefault="00D00591" w:rsidP="00FA2C61">
      <w:pPr>
        <w:pStyle w:val="P1paragraphe1"/>
        <w:spacing w:before="0" w:line="240" w:lineRule="auto"/>
        <w:ind w:left="0"/>
        <w:rPr>
          <w:rFonts w:ascii="Arial" w:hAnsi="Arial" w:cs="Arial"/>
          <w:sz w:val="22"/>
          <w:szCs w:val="22"/>
        </w:rPr>
      </w:pPr>
    </w:p>
    <w:p w:rsidR="00BE73D7" w:rsidRDefault="00BE73D7" w:rsidP="00FA2C61">
      <w:pPr>
        <w:pStyle w:val="P1paragraphe1"/>
        <w:spacing w:before="0" w:line="240" w:lineRule="auto"/>
        <w:ind w:left="0"/>
        <w:rPr>
          <w:rFonts w:ascii="Arial" w:hAnsi="Arial" w:cs="Arial"/>
          <w:sz w:val="22"/>
          <w:szCs w:val="22"/>
        </w:rPr>
      </w:pPr>
      <w:r>
        <w:rPr>
          <w:noProof/>
        </w:rPr>
        <w:drawing>
          <wp:inline distT="0" distB="0" distL="0" distR="0">
            <wp:extent cx="5760720" cy="3094724"/>
            <wp:effectExtent l="0" t="0" r="0" b="0"/>
            <wp:docPr id="6" name="Image 6" descr="cid:image007.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7.jpg@01D53B26.5FBBB1F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5760720" cy="3094724"/>
                    </a:xfrm>
                    <a:prstGeom prst="rect">
                      <a:avLst/>
                    </a:prstGeom>
                    <a:noFill/>
                    <a:ln>
                      <a:noFill/>
                    </a:ln>
                  </pic:spPr>
                </pic:pic>
              </a:graphicData>
            </a:graphic>
          </wp:inline>
        </w:drawing>
      </w:r>
    </w:p>
    <w:p w:rsidR="00D00591" w:rsidRPr="00D00591" w:rsidRDefault="00D00591" w:rsidP="00D00591">
      <w:pPr>
        <w:pStyle w:val="P1paragraphe1"/>
        <w:spacing w:before="0" w:line="240" w:lineRule="auto"/>
        <w:ind w:left="0"/>
        <w:rPr>
          <w:rFonts w:ascii="Arial" w:hAnsi="Arial" w:cs="Arial"/>
          <w:sz w:val="22"/>
          <w:szCs w:val="22"/>
        </w:rPr>
      </w:pPr>
    </w:p>
    <w:p w:rsidR="00D00591" w:rsidRDefault="00D00591" w:rsidP="00FA2C61">
      <w:pPr>
        <w:jc w:val="both"/>
        <w:rPr>
          <w:rFonts w:cs="Arial"/>
          <w:szCs w:val="22"/>
        </w:rPr>
      </w:pPr>
    </w:p>
    <w:p w:rsidR="00FA2C61" w:rsidRPr="00F603A9" w:rsidRDefault="00FA2C61" w:rsidP="00FA2C61">
      <w:pPr>
        <w:jc w:val="both"/>
        <w:rPr>
          <w:rFonts w:cs="Arial"/>
          <w:szCs w:val="22"/>
        </w:rPr>
      </w:pPr>
      <w:r w:rsidRPr="00F603A9">
        <w:rPr>
          <w:rFonts w:cs="Arial"/>
          <w:szCs w:val="22"/>
        </w:rPr>
        <w:t xml:space="preserve">Pour répondre à une consultation, ou télécharger un DCE, actions qui nécessitent une authentification, le soumissionnaire doit aller sur l’adresse </w:t>
      </w:r>
      <w:hyperlink r:id="rId8"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et sélectionner la consultation pour laquelle il souhaite retirer le DCE ou à laquelle il souhaite répondre.</w:t>
      </w:r>
    </w:p>
    <w:p w:rsidR="00FA2C61" w:rsidRPr="00F603A9" w:rsidRDefault="00FA2C61" w:rsidP="00FA2C61">
      <w:pPr>
        <w:jc w:val="both"/>
        <w:rPr>
          <w:rFonts w:cs="Arial"/>
          <w:szCs w:val="22"/>
        </w:rPr>
      </w:pPr>
    </w:p>
    <w:p w:rsidR="00FA2C61" w:rsidRPr="00F603A9" w:rsidRDefault="00FA2C61" w:rsidP="00FA2C61">
      <w:pPr>
        <w:pStyle w:val="Style4"/>
        <w:spacing w:before="0"/>
        <w:rPr>
          <w:b/>
          <w:u w:val="single"/>
        </w:rPr>
      </w:pPr>
      <w:r w:rsidRPr="00F603A9">
        <w:rPr>
          <w:b/>
          <w:u w:val="single"/>
        </w:rPr>
        <w:t>1. Accès des entreprises sur la plateforme</w:t>
      </w:r>
    </w:p>
    <w:p w:rsidR="00FA2C61" w:rsidRPr="00F603A9" w:rsidRDefault="00FA2C61" w:rsidP="00FA2C61">
      <w:pPr>
        <w:jc w:val="both"/>
        <w:rPr>
          <w:rFonts w:cs="Arial"/>
          <w:szCs w:val="22"/>
        </w:rPr>
      </w:pPr>
      <w:r w:rsidRPr="00F603A9">
        <w:rPr>
          <w:rFonts w:cs="Arial"/>
          <w:szCs w:val="22"/>
        </w:rPr>
        <w:t>Pour accéder à</w:t>
      </w:r>
      <w:r w:rsidRPr="00F603A9">
        <w:rPr>
          <w:rFonts w:cs="Arial"/>
          <w:color w:val="0000FF"/>
          <w:szCs w:val="22"/>
        </w:rPr>
        <w:t xml:space="preserve"> </w:t>
      </w:r>
      <w:hyperlink r:id="rId9"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 xml:space="preserve">et pouvoir y effectuer les opérations de consultation des avis de marchés du CEA ou des dossiers concernant des procédures ouvertes du CEA (appel d’offres ouvert, consultation simplifiée, </w:t>
      </w:r>
      <w:proofErr w:type="spellStart"/>
      <w:r w:rsidRPr="00F603A9">
        <w:rPr>
          <w:rFonts w:cs="Arial"/>
          <w:szCs w:val="22"/>
        </w:rPr>
        <w:t>etc</w:t>
      </w:r>
      <w:proofErr w:type="spellEnd"/>
      <w:r w:rsidRPr="00F603A9">
        <w:rPr>
          <w:rFonts w:cs="Arial"/>
          <w:szCs w:val="22"/>
        </w:rPr>
        <w:t xml:space="preserve"> …), les entreprises doivent </w:t>
      </w:r>
      <w:r w:rsidRPr="00F603A9">
        <w:rPr>
          <w:rFonts w:cs="Arial"/>
          <w:szCs w:val="22"/>
        </w:rPr>
        <w:lastRenderedPageBreak/>
        <w:t>s’inscrire sur la plateforme de dématérialisation du CEA. A ce stade, aucun certificat n’est nécessaire.</w:t>
      </w:r>
    </w:p>
    <w:p w:rsidR="00FA2C61" w:rsidRPr="00F603A9" w:rsidRDefault="00FA2C61" w:rsidP="00FA2C61">
      <w:pPr>
        <w:pStyle w:val="P1paragraphe1"/>
        <w:spacing w:before="0" w:line="240" w:lineRule="auto"/>
        <w:ind w:left="0"/>
        <w:rPr>
          <w:rFonts w:ascii="Arial" w:hAnsi="Arial" w:cs="Arial"/>
          <w:bCs/>
          <w:sz w:val="22"/>
          <w:szCs w:val="22"/>
        </w:rPr>
      </w:pPr>
    </w:p>
    <w:p w:rsidR="00FA2C61" w:rsidRPr="00F603A9" w:rsidRDefault="00FA2C61" w:rsidP="00FA2C61">
      <w:pPr>
        <w:pStyle w:val="Style4"/>
        <w:spacing w:before="0"/>
        <w:rPr>
          <w:b/>
          <w:u w:val="single"/>
        </w:rPr>
      </w:pPr>
      <w:r w:rsidRPr="00F603A9">
        <w:rPr>
          <w:b/>
          <w:u w:val="single"/>
        </w:rPr>
        <w:t>2. Inscription des entreprises sur la plateforme</w:t>
      </w:r>
    </w:p>
    <w:p w:rsidR="00FA2C61" w:rsidRPr="00F603A9" w:rsidRDefault="00FA2C61" w:rsidP="00FA2C61">
      <w:pPr>
        <w:adjustRightInd w:val="0"/>
        <w:jc w:val="both"/>
        <w:rPr>
          <w:rFonts w:cs="Arial"/>
          <w:szCs w:val="22"/>
        </w:rPr>
      </w:pPr>
      <w:r w:rsidRPr="00F603A9">
        <w:rPr>
          <w:rFonts w:cs="Arial"/>
          <w:szCs w:val="22"/>
        </w:rPr>
        <w:t>Lorsqu'une entreprise a un usage régulier de la plate-forme, il peut souhaiter automatiser certaines tâches de recherche de consultation ou répondre sous forme électronique à des marchés. Pour cela, il doit créer un compte Personnel sur la plate-forme, et un compte Entreprise dans le cas où celle-ci n'est pas déjà elle-même référencée.</w:t>
      </w:r>
    </w:p>
    <w:p w:rsidR="00FA2C61" w:rsidRPr="00F603A9" w:rsidRDefault="00FA2C61" w:rsidP="00FA2C61">
      <w:pPr>
        <w:adjustRightInd w:val="0"/>
        <w:jc w:val="both"/>
        <w:rPr>
          <w:rFonts w:cs="Arial"/>
          <w:szCs w:val="22"/>
        </w:rPr>
      </w:pPr>
      <w:r w:rsidRPr="00F603A9">
        <w:rPr>
          <w:rFonts w:cs="Arial"/>
          <w:szCs w:val="22"/>
        </w:rPr>
        <w:t>Pour savoir si l'entreprise d'un individu est déjà référencée sur la plate-forme du CEA, un test est réalisé sur le SIREN de l'entreprise.</w:t>
      </w:r>
    </w:p>
    <w:p w:rsidR="00FA2C61" w:rsidRPr="00F603A9" w:rsidRDefault="00FA2C61" w:rsidP="00FA2C61">
      <w:pPr>
        <w:adjustRightInd w:val="0"/>
        <w:jc w:val="both"/>
        <w:rPr>
          <w:rFonts w:cs="Arial"/>
          <w:szCs w:val="22"/>
        </w:rPr>
      </w:pPr>
      <w:r w:rsidRPr="00F603A9">
        <w:rPr>
          <w:rFonts w:cs="Arial"/>
          <w:szCs w:val="22"/>
        </w:rPr>
        <w:t>Selon que ce numéro d'identification (SIREN ou autre) est déjà connu ou non par la plate-forme, le fournisseur est invité à créer directement un compte Personnel (cf. 2.2) ou à créer dans un premier temps un compte Entreprise (cf. 2.1).</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2.1 Création d'un compte Entreprise</w:t>
      </w:r>
    </w:p>
    <w:p w:rsidR="00D00591" w:rsidRDefault="00FA2C61" w:rsidP="00FA2C61">
      <w:pPr>
        <w:adjustRightInd w:val="0"/>
        <w:jc w:val="both"/>
        <w:rPr>
          <w:rFonts w:cs="Arial"/>
          <w:szCs w:val="22"/>
        </w:rPr>
      </w:pPr>
      <w:r w:rsidRPr="00F603A9">
        <w:rPr>
          <w:rFonts w:cs="Arial"/>
          <w:szCs w:val="22"/>
        </w:rPr>
        <w:t>Si l'entreprise n'est pas connue de la plate-forme, le fournisseur est invité à créer le compte de son entreprise avant de définir ensuite son propre compte Personnel.</w:t>
      </w:r>
    </w:p>
    <w:p w:rsidR="00D00591" w:rsidRDefault="00D00591" w:rsidP="00FA2C61">
      <w:pPr>
        <w:adjustRightInd w:val="0"/>
        <w:jc w:val="both"/>
        <w:rPr>
          <w:rFonts w:cs="Arial"/>
          <w:szCs w:val="22"/>
        </w:rPr>
      </w:pPr>
    </w:p>
    <w:p w:rsidR="00BE73D7" w:rsidRDefault="00BE73D7" w:rsidP="00FA2C61">
      <w:pPr>
        <w:adjustRightInd w:val="0"/>
        <w:jc w:val="both"/>
        <w:rPr>
          <w:rFonts w:cs="Arial"/>
          <w:szCs w:val="22"/>
        </w:rPr>
      </w:pPr>
    </w:p>
    <w:p w:rsidR="00BE73D7" w:rsidRDefault="00BE73D7" w:rsidP="00FA2C61">
      <w:pPr>
        <w:adjustRightInd w:val="0"/>
        <w:jc w:val="both"/>
        <w:rPr>
          <w:rFonts w:cs="Arial"/>
          <w:szCs w:val="22"/>
        </w:rPr>
      </w:pPr>
      <w:r>
        <w:rPr>
          <w:noProof/>
        </w:rPr>
        <w:drawing>
          <wp:inline distT="0" distB="0" distL="0" distR="0">
            <wp:extent cx="5760720" cy="3705517"/>
            <wp:effectExtent l="0" t="0" r="0" b="9525"/>
            <wp:docPr id="5" name="Image 5" descr="cid:image003.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3.jpg@01D53B26.5FBBB1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3705517"/>
                    </a:xfrm>
                    <a:prstGeom prst="rect">
                      <a:avLst/>
                    </a:prstGeom>
                    <a:noFill/>
                    <a:ln>
                      <a:noFill/>
                    </a:ln>
                  </pic:spPr>
                </pic:pic>
              </a:graphicData>
            </a:graphic>
          </wp:inline>
        </w:drawing>
      </w:r>
    </w:p>
    <w:p w:rsidR="00F31D3C" w:rsidRDefault="00F31D3C" w:rsidP="00FA2C61">
      <w:pPr>
        <w:adjustRightInd w:val="0"/>
        <w:jc w:val="both"/>
        <w:rPr>
          <w:rFonts w:cs="Arial"/>
          <w:szCs w:val="22"/>
        </w:rPr>
      </w:pPr>
    </w:p>
    <w:p w:rsidR="00F31D3C" w:rsidRPr="00F603A9" w:rsidRDefault="00F31D3C"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fournisseur renseigne les caractéristiques essentielles de la société qu'il représente.</w:t>
      </w:r>
    </w:p>
    <w:p w:rsidR="00FA2C61" w:rsidRDefault="00FA2C61" w:rsidP="00FA2C61">
      <w:pPr>
        <w:adjustRightInd w:val="0"/>
        <w:jc w:val="both"/>
        <w:rPr>
          <w:rFonts w:cs="Arial"/>
          <w:szCs w:val="22"/>
        </w:rPr>
      </w:pPr>
      <w:r w:rsidRPr="00F603A9">
        <w:rPr>
          <w:rFonts w:cs="Arial"/>
          <w:szCs w:val="22"/>
        </w:rPr>
        <w:t>Il sera possible à ce fournisseur – aussi appelé « Administrateur du compte Entreprise » – de revenir remplir ou modifier ces éléments dans un second temps. Une fois les informations renseignées, le fournisseur est informé que le compte Entreprise est créé sous réserve de création d'un compte Personnel immédiatement après, et est alors invité à faire cette démarche.</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2.2 Création d'un compte Personnel</w:t>
      </w:r>
    </w:p>
    <w:p w:rsidR="00FA2C61" w:rsidRPr="00F603A9" w:rsidRDefault="00FA2C61" w:rsidP="00FA2C61">
      <w:pPr>
        <w:adjustRightInd w:val="0"/>
        <w:jc w:val="both"/>
        <w:rPr>
          <w:rFonts w:cs="Arial"/>
          <w:szCs w:val="22"/>
        </w:rPr>
      </w:pPr>
      <w:r w:rsidRPr="00F603A9">
        <w:rPr>
          <w:rFonts w:cs="Arial"/>
          <w:szCs w:val="22"/>
        </w:rPr>
        <w:t>Lorsqu'un fournisseur vient de créer un compte Entreprise, il est invité à créer immédiatement son compte Personnel. De même, dans le cas où son entreprise est déjà connue de la plate-forme, il est invité à créer directement son compte Personnel.</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tabs>
          <w:tab w:val="left" w:pos="-360"/>
        </w:tabs>
        <w:jc w:val="both"/>
        <w:rPr>
          <w:rFonts w:cs="Arial"/>
          <w:i/>
          <w:szCs w:val="22"/>
        </w:rPr>
      </w:pPr>
      <w:r w:rsidRPr="00F603A9">
        <w:rPr>
          <w:rFonts w:cs="Arial"/>
          <w:i/>
          <w:iCs/>
          <w:szCs w:val="22"/>
          <w:u w:val="single"/>
        </w:rPr>
        <w:t>Nota bene</w:t>
      </w:r>
      <w:r w:rsidRPr="00F603A9">
        <w:rPr>
          <w:rFonts w:cs="Arial"/>
          <w:i/>
          <w:iCs/>
          <w:szCs w:val="22"/>
        </w:rPr>
        <w:t> </w:t>
      </w:r>
      <w:r w:rsidRPr="00F603A9">
        <w:rPr>
          <w:rFonts w:cs="Arial"/>
          <w:i/>
          <w:szCs w:val="22"/>
        </w:rPr>
        <w:t xml:space="preserve">: </w:t>
      </w:r>
      <w:r w:rsidRPr="00E27A95">
        <w:rPr>
          <w:rFonts w:cs="Arial"/>
          <w:b/>
          <w:i/>
          <w:szCs w:val="22"/>
        </w:rPr>
        <w:t>ces informations permettent au CEA d’informer les personnes ayant téléchargé le DCE des éventuelles modifications de celui-ci. En conséquence, les personnes téléchargeant le DCE seront particulièrement attentives à bien renseigner le champ « e-mail ».</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2.3 Gestion des recherches favorites et des alertes</w:t>
      </w:r>
    </w:p>
    <w:p w:rsidR="00FA2C61" w:rsidRPr="00F603A9" w:rsidRDefault="00FA2C61" w:rsidP="00FA2C61">
      <w:pPr>
        <w:tabs>
          <w:tab w:val="left" w:pos="0"/>
        </w:tabs>
        <w:jc w:val="both"/>
        <w:rPr>
          <w:rFonts w:cs="Arial"/>
          <w:szCs w:val="22"/>
        </w:rPr>
      </w:pPr>
      <w:r w:rsidRPr="00F603A9">
        <w:rPr>
          <w:rFonts w:cs="Arial"/>
          <w:szCs w:val="22"/>
        </w:rPr>
        <w:t>Si le fournisseur le souhaite, il a la possibilité, à l'issue de la création de son Compte personnel, de définir ses préférences (recherches favorites) pour :</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accélérer ses recherches courantes,</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disposer d'une alerte automatisée d'information des nouvelles consultations.</w:t>
      </w:r>
    </w:p>
    <w:p w:rsidR="00FA2C61" w:rsidRPr="00F603A9" w:rsidRDefault="00FA2C61" w:rsidP="00FA2C61">
      <w:pPr>
        <w:tabs>
          <w:tab w:val="left" w:pos="1276"/>
        </w:tabs>
        <w:ind w:left="360"/>
        <w:jc w:val="both"/>
        <w:rPr>
          <w:rFonts w:cs="Arial"/>
          <w:szCs w:val="22"/>
        </w:rPr>
      </w:pPr>
    </w:p>
    <w:p w:rsidR="00FA2C61" w:rsidRPr="00F603A9" w:rsidRDefault="00FA2C61" w:rsidP="00374C36">
      <w:pPr>
        <w:adjustRightInd w:val="0"/>
        <w:jc w:val="both"/>
        <w:rPr>
          <w:rFonts w:cs="Arial"/>
          <w:szCs w:val="22"/>
        </w:rPr>
      </w:pPr>
      <w:r w:rsidRPr="00F603A9">
        <w:rPr>
          <w:rFonts w:cs="Arial"/>
          <w:szCs w:val="22"/>
        </w:rPr>
        <w:t>Cette fonction permet au fournisseur d'éviter la recherche périodique et manuelle</w:t>
      </w:r>
      <w:r w:rsidR="00374C36">
        <w:rPr>
          <w:rFonts w:cs="Arial"/>
          <w:szCs w:val="22"/>
        </w:rPr>
        <w:t xml:space="preserve"> des </w:t>
      </w:r>
      <w:r w:rsidRPr="00F603A9">
        <w:rPr>
          <w:rFonts w:cs="Arial"/>
          <w:szCs w:val="22"/>
        </w:rPr>
        <w:t>consultations le concernant, recherchées par catégorie, mots clés, etc.</w:t>
      </w:r>
    </w:p>
    <w:p w:rsidR="00FA2C61" w:rsidRPr="00F603A9" w:rsidRDefault="00FA2C61" w:rsidP="00FA2C61">
      <w:pPr>
        <w:adjustRightInd w:val="0"/>
        <w:jc w:val="both"/>
        <w:rPr>
          <w:rFonts w:cs="Arial"/>
          <w:szCs w:val="22"/>
        </w:rPr>
      </w:pPr>
      <w:r w:rsidRPr="00F603A9">
        <w:rPr>
          <w:rFonts w:cs="Arial"/>
          <w:szCs w:val="22"/>
        </w:rPr>
        <w:t>Le fournisseur sera alerté automatiquement par courrier électronique des consultations qui l'intéressent à la périodicité voulue. Il aura également la possibilité de modifier par la suite ces critères de recherche automatisée.</w:t>
      </w:r>
    </w:p>
    <w:p w:rsidR="00FA2C61" w:rsidRPr="00F603A9" w:rsidRDefault="00FA2C61" w:rsidP="00FA2C61">
      <w:pPr>
        <w:pStyle w:val="P1paragraphe1"/>
        <w:spacing w:before="0" w:line="240" w:lineRule="auto"/>
        <w:ind w:left="0"/>
        <w:rPr>
          <w:rFonts w:ascii="Arial" w:hAnsi="Arial" w:cs="Arial"/>
          <w:bCs/>
          <w:sz w:val="22"/>
          <w:szCs w:val="22"/>
          <w:u w:val="single"/>
        </w:rPr>
      </w:pPr>
    </w:p>
    <w:p w:rsidR="00FA2C61" w:rsidRPr="00F603A9" w:rsidRDefault="00FA2C61" w:rsidP="00FA2C61">
      <w:pPr>
        <w:pStyle w:val="Style4"/>
        <w:spacing w:before="0"/>
        <w:rPr>
          <w:b/>
          <w:bCs/>
          <w:u w:val="single"/>
        </w:rPr>
      </w:pPr>
      <w:r w:rsidRPr="00F603A9">
        <w:rPr>
          <w:b/>
          <w:bCs/>
          <w:u w:val="single"/>
        </w:rPr>
        <w:t>3. Dépôt d’une réponse électronique</w:t>
      </w:r>
    </w:p>
    <w:p w:rsidR="00FA2C61" w:rsidRDefault="00FA2C61" w:rsidP="00FA2C61">
      <w:pPr>
        <w:adjustRightInd w:val="0"/>
        <w:jc w:val="both"/>
        <w:rPr>
          <w:rFonts w:cs="Arial"/>
          <w:szCs w:val="22"/>
        </w:rPr>
      </w:pPr>
      <w:r w:rsidRPr="00F603A9">
        <w:rPr>
          <w:rFonts w:cs="Arial"/>
          <w:szCs w:val="22"/>
        </w:rPr>
        <w:t xml:space="preserve">Le </w:t>
      </w:r>
      <w:r w:rsidR="00E27A95">
        <w:rPr>
          <w:rFonts w:cs="Arial"/>
          <w:szCs w:val="22"/>
        </w:rPr>
        <w:t>fournisseur doit</w:t>
      </w:r>
      <w:r w:rsidRPr="00F603A9">
        <w:rPr>
          <w:rFonts w:cs="Arial"/>
          <w:szCs w:val="22"/>
        </w:rPr>
        <w:t xml:space="preserve"> répondre à une consultation en cliquant sur le lien « Répondre à la consultation » de la consultation qu'il a préalablement trouvée avec les formulaires de recherche.</w:t>
      </w:r>
    </w:p>
    <w:p w:rsidR="00AC5837" w:rsidRPr="00F603A9" w:rsidRDefault="00AC5837"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cas échéant, le fournisseur est invité à fournir le code d'accès à une procédure restreinte.</w:t>
      </w:r>
    </w:p>
    <w:p w:rsidR="00FA2C61" w:rsidRDefault="00D63E19" w:rsidP="00FA2C61">
      <w:pPr>
        <w:adjustRightInd w:val="0"/>
        <w:jc w:val="both"/>
        <w:rPr>
          <w:rFonts w:cs="Arial"/>
          <w:szCs w:val="22"/>
        </w:rPr>
      </w:pPr>
      <w:r>
        <w:rPr>
          <w:rFonts w:cs="Arial"/>
          <w:szCs w:val="22"/>
        </w:rPr>
        <w:t>Pour répondre dans le cadre d’une procédure restreinte en faisant une « Recherche avancée » dans le cadre procédure restreinte en sélectionnant l’entité publique « Opérateurs de l’Etat ».</w:t>
      </w:r>
    </w:p>
    <w:p w:rsidR="00AC5837" w:rsidRPr="00D63E19" w:rsidRDefault="00AC5837" w:rsidP="00FA2C61">
      <w:pPr>
        <w:adjustRightInd w:val="0"/>
        <w:jc w:val="both"/>
        <w:rPr>
          <w:rFonts w:cs="Arial"/>
          <w:szCs w:val="22"/>
        </w:rPr>
      </w:pPr>
    </w:p>
    <w:p w:rsidR="00D63E19" w:rsidRDefault="00D63E19" w:rsidP="00FA2C61">
      <w:pPr>
        <w:adjustRightInd w:val="0"/>
        <w:jc w:val="both"/>
        <w:rPr>
          <w:rFonts w:cs="Arial"/>
          <w:szCs w:val="22"/>
        </w:rPr>
      </w:pPr>
      <w:r>
        <w:rPr>
          <w:rFonts w:cs="Arial"/>
          <w:noProof/>
          <w:szCs w:val="22"/>
        </w:rPr>
        <w:drawing>
          <wp:inline distT="0" distB="0" distL="0" distR="0">
            <wp:extent cx="4664935" cy="1428750"/>
            <wp:effectExtent l="0" t="0" r="254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36207" cy="1481206"/>
                    </a:xfrm>
                    <a:prstGeom prst="rect">
                      <a:avLst/>
                    </a:prstGeom>
                    <a:noFill/>
                    <a:ln>
                      <a:noFill/>
                    </a:ln>
                  </pic:spPr>
                </pic:pic>
              </a:graphicData>
            </a:graphic>
          </wp:inline>
        </w:drawing>
      </w:r>
    </w:p>
    <w:p w:rsidR="00D63E19" w:rsidRDefault="00D63E19"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La procédure de réponse à une consultation se décompose en :</w:t>
      </w:r>
    </w:p>
    <w:p w:rsidR="00FA2C61" w:rsidRPr="00F603A9" w:rsidRDefault="00FA2C61" w:rsidP="00FA2C61">
      <w:pPr>
        <w:adjustRightInd w:val="0"/>
        <w:jc w:val="both"/>
        <w:rPr>
          <w:rFonts w:cs="Arial"/>
          <w:szCs w:val="22"/>
        </w:rPr>
      </w:pPr>
    </w:p>
    <w:p w:rsidR="00FA2C61" w:rsidRDefault="00FA2C61" w:rsidP="00FA2C61">
      <w:pPr>
        <w:adjustRightInd w:val="0"/>
        <w:jc w:val="both"/>
        <w:rPr>
          <w:rFonts w:cs="Arial"/>
          <w:szCs w:val="22"/>
          <w:u w:val="single"/>
        </w:rPr>
      </w:pPr>
      <w:r w:rsidRPr="00F603A9">
        <w:rPr>
          <w:rFonts w:cs="Arial"/>
          <w:szCs w:val="22"/>
          <w:u w:val="single"/>
        </w:rPr>
        <w:t>- plusieurs étapes actives :</w:t>
      </w:r>
    </w:p>
    <w:p w:rsidR="00FA2C61" w:rsidRPr="00F603A9" w:rsidRDefault="00FA2C61" w:rsidP="00FA2C61">
      <w:pPr>
        <w:adjustRightInd w:val="0"/>
        <w:ind w:left="708"/>
        <w:jc w:val="both"/>
        <w:rPr>
          <w:rFonts w:cs="Arial"/>
          <w:szCs w:val="22"/>
        </w:rPr>
      </w:pPr>
    </w:p>
    <w:p w:rsidR="00FA2C61" w:rsidRPr="00F603A9" w:rsidRDefault="00FA2C61" w:rsidP="00FA2C61">
      <w:pPr>
        <w:adjustRightInd w:val="0"/>
        <w:ind w:left="708"/>
        <w:jc w:val="both"/>
        <w:rPr>
          <w:rFonts w:cs="Arial"/>
          <w:szCs w:val="22"/>
        </w:rPr>
      </w:pPr>
      <w:r w:rsidRPr="00F603A9">
        <w:rPr>
          <w:rFonts w:cs="Arial"/>
          <w:szCs w:val="22"/>
        </w:rPr>
        <w:t>Constituer votre dossier de réponse (les enveloppes qui le constituent doivent être au format ZIP),</w:t>
      </w: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3..1 Constitution de l’enveloppe électronique de candidature</w:t>
      </w:r>
    </w:p>
    <w:p w:rsidR="00FA2C61" w:rsidRPr="00F603A9" w:rsidRDefault="00FA2C61" w:rsidP="00FA2C61">
      <w:pPr>
        <w:jc w:val="both"/>
        <w:rPr>
          <w:rFonts w:cs="Arial"/>
          <w:szCs w:val="22"/>
        </w:rPr>
      </w:pPr>
      <w:r w:rsidRPr="00F603A9">
        <w:rPr>
          <w:rFonts w:cs="Arial"/>
          <w:szCs w:val="22"/>
        </w:rPr>
        <w:t>L’enveloppe électronique de candidature doit être un fich</w:t>
      </w:r>
      <w:r w:rsidR="006E14C5">
        <w:rPr>
          <w:rFonts w:cs="Arial"/>
          <w:szCs w:val="22"/>
        </w:rPr>
        <w:t>i</w:t>
      </w:r>
      <w:r w:rsidRPr="00F603A9">
        <w:rPr>
          <w:rFonts w:cs="Arial"/>
          <w:szCs w:val="22"/>
        </w:rPr>
        <w:t xml:space="preserve">er unique au format .zip contenant les éléments mentionnés dans l’Avis d’Appel Public à la Concurrence. </w:t>
      </w:r>
    </w:p>
    <w:p w:rsidR="009521D0" w:rsidRPr="00F603A9" w:rsidRDefault="009521D0" w:rsidP="009521D0">
      <w:pPr>
        <w:jc w:val="both"/>
        <w:rPr>
          <w:rFonts w:cs="Arial"/>
          <w:szCs w:val="22"/>
        </w:rPr>
      </w:pPr>
      <w:r w:rsidRPr="00F603A9">
        <w:rPr>
          <w:rFonts w:cs="Arial"/>
          <w:szCs w:val="22"/>
        </w:rPr>
        <w:t xml:space="preserve">Le nom donné à l’enveloppe électronique de candidature sera </w:t>
      </w:r>
      <w:r>
        <w:rPr>
          <w:rFonts w:cs="Arial"/>
          <w:szCs w:val="22"/>
        </w:rPr>
        <w:t>Candidature.zip</w:t>
      </w:r>
      <w:r w:rsidRPr="00F603A9">
        <w:rPr>
          <w:rFonts w:cs="Arial"/>
          <w:szCs w:val="22"/>
        </w:rPr>
        <w:t xml:space="preserve"> </w:t>
      </w:r>
    </w:p>
    <w:p w:rsidR="009521D0" w:rsidRPr="0073377E" w:rsidRDefault="009521D0" w:rsidP="009521D0">
      <w:pPr>
        <w:tabs>
          <w:tab w:val="left" w:pos="1560"/>
        </w:tabs>
        <w:jc w:val="both"/>
        <w:rPr>
          <w:rFonts w:cs="Arial"/>
          <w:b/>
          <w:szCs w:val="22"/>
        </w:rPr>
      </w:pPr>
      <w:r w:rsidRPr="0073377E">
        <w:rPr>
          <w:rFonts w:cs="Arial"/>
          <w:b/>
          <w:szCs w:val="22"/>
        </w:rPr>
        <w:t>L’enveloppe électronique d</w:t>
      </w:r>
      <w:r>
        <w:rPr>
          <w:rFonts w:cs="Arial"/>
          <w:b/>
          <w:szCs w:val="22"/>
        </w:rPr>
        <w:t xml:space="preserve">e candidature </w:t>
      </w:r>
      <w:r w:rsidRPr="0073377E">
        <w:rPr>
          <w:rFonts w:cs="Arial"/>
          <w:b/>
          <w:szCs w:val="22"/>
        </w:rPr>
        <w:t xml:space="preserve">ne doit pas contenir de sous-fichiers (ni </w:t>
      </w:r>
      <w:r>
        <w:rPr>
          <w:rFonts w:cs="Arial"/>
          <w:b/>
          <w:szCs w:val="22"/>
        </w:rPr>
        <w:t xml:space="preserve">de </w:t>
      </w:r>
      <w:r w:rsidRPr="0073377E">
        <w:rPr>
          <w:rFonts w:cs="Arial"/>
          <w:b/>
          <w:szCs w:val="22"/>
        </w:rPr>
        <w:t>fichiers .zip, ni</w:t>
      </w:r>
      <w:r>
        <w:rPr>
          <w:rFonts w:cs="Arial"/>
          <w:b/>
          <w:szCs w:val="22"/>
        </w:rPr>
        <w:t xml:space="preserve"> de</w:t>
      </w:r>
      <w:r w:rsidRPr="0073377E">
        <w:rPr>
          <w:rFonts w:cs="Arial"/>
          <w:b/>
          <w:szCs w:val="22"/>
        </w:rPr>
        <w:t xml:space="preserve"> sous-répertoires).</w:t>
      </w:r>
      <w:r w:rsidRPr="00FF2FDA">
        <w:rPr>
          <w:rFonts w:cs="Arial"/>
          <w:b/>
          <w:szCs w:val="22"/>
        </w:rPr>
        <w:t xml:space="preserve"> </w:t>
      </w:r>
      <w:r w:rsidRPr="0073377E">
        <w:rPr>
          <w:rFonts w:cs="Arial"/>
          <w:b/>
          <w:szCs w:val="22"/>
        </w:rPr>
        <w:t xml:space="preserve">Le nombre de caractères du nom de chaque </w:t>
      </w:r>
      <w:r>
        <w:rPr>
          <w:rFonts w:cs="Arial"/>
          <w:b/>
          <w:szCs w:val="22"/>
        </w:rPr>
        <w:t>document</w:t>
      </w:r>
      <w:r w:rsidRPr="0073377E">
        <w:rPr>
          <w:rFonts w:cs="Arial"/>
          <w:b/>
          <w:szCs w:val="22"/>
        </w:rPr>
        <w:t xml:space="preserve"> ne doit pas dépasser </w:t>
      </w:r>
      <w:r>
        <w:rPr>
          <w:rFonts w:cs="Arial"/>
          <w:b/>
          <w:szCs w:val="22"/>
        </w:rPr>
        <w:t>2</w:t>
      </w:r>
      <w:r w:rsidRPr="0073377E">
        <w:rPr>
          <w:rFonts w:cs="Arial"/>
          <w:b/>
          <w:szCs w:val="22"/>
        </w:rPr>
        <w:t>0 caractères</w:t>
      </w:r>
      <w:r>
        <w:rPr>
          <w:rFonts w:cs="Arial"/>
          <w:b/>
          <w:szCs w:val="22"/>
        </w:rPr>
        <w:t>.</w:t>
      </w:r>
      <w:r w:rsidRPr="009521D0">
        <w:rPr>
          <w:rFonts w:cs="Arial"/>
          <w:szCs w:val="22"/>
        </w:rPr>
        <w:t xml:space="preserve"> </w:t>
      </w:r>
      <w:r>
        <w:rPr>
          <w:rFonts w:cs="Arial"/>
          <w:szCs w:val="22"/>
        </w:rPr>
        <w:t>Les document</w:t>
      </w:r>
      <w:r w:rsidRPr="00F603A9">
        <w:rPr>
          <w:rFonts w:cs="Arial"/>
          <w:szCs w:val="22"/>
        </w:rPr>
        <w:t>s doivent être nommés selon le contenu du fichier</w:t>
      </w:r>
      <w:r>
        <w:rPr>
          <w:rFonts w:cs="Arial"/>
          <w:szCs w:val="22"/>
        </w:rPr>
        <w:t>.</w:t>
      </w:r>
    </w:p>
    <w:p w:rsidR="00BE73D7" w:rsidRDefault="00BE73D7">
      <w:pPr>
        <w:rPr>
          <w:rFonts w:cs="Arial"/>
          <w:szCs w:val="22"/>
        </w:rPr>
      </w:pPr>
      <w:r>
        <w:rPr>
          <w:rFonts w:cs="Arial"/>
          <w:szCs w:val="22"/>
        </w:rPr>
        <w:br w:type="page"/>
      </w:r>
    </w:p>
    <w:p w:rsidR="00BE73D7" w:rsidRPr="00F603A9" w:rsidRDefault="00BE73D7" w:rsidP="00FA2C61">
      <w:pPr>
        <w:pStyle w:val="P1paragraphe1"/>
        <w:spacing w:before="0" w:line="240" w:lineRule="auto"/>
        <w:rPr>
          <w:rFonts w:ascii="Arial" w:hAnsi="Arial" w:cs="Arial"/>
          <w:sz w:val="22"/>
          <w:szCs w:val="22"/>
        </w:rPr>
      </w:pP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3..2 Constitution de l’enveloppe électronique d’offre</w:t>
      </w:r>
    </w:p>
    <w:p w:rsidR="00FA2C61" w:rsidRDefault="00FA2C61" w:rsidP="00FA2C61">
      <w:pPr>
        <w:jc w:val="both"/>
        <w:rPr>
          <w:rFonts w:cs="Arial"/>
          <w:szCs w:val="22"/>
        </w:rPr>
      </w:pPr>
      <w:r w:rsidRPr="00F603A9">
        <w:rPr>
          <w:rFonts w:cs="Arial"/>
          <w:szCs w:val="22"/>
        </w:rPr>
        <w:t>L’enveloppe électronique d’offre doit être un fich</w:t>
      </w:r>
      <w:r w:rsidR="000E3EF8">
        <w:rPr>
          <w:rFonts w:cs="Arial"/>
          <w:szCs w:val="22"/>
        </w:rPr>
        <w:t>i</w:t>
      </w:r>
      <w:r w:rsidRPr="00F603A9">
        <w:rPr>
          <w:rFonts w:cs="Arial"/>
          <w:szCs w:val="22"/>
        </w:rPr>
        <w:t xml:space="preserve">er unique au format .zip contenant les éléments mentionnés dans le règlement de consultation. </w:t>
      </w:r>
    </w:p>
    <w:p w:rsidR="009521D0" w:rsidRDefault="009521D0" w:rsidP="009521D0">
      <w:pPr>
        <w:jc w:val="both"/>
        <w:rPr>
          <w:rFonts w:cs="Arial"/>
          <w:szCs w:val="22"/>
        </w:rPr>
      </w:pPr>
      <w:r w:rsidRPr="00F603A9">
        <w:rPr>
          <w:rFonts w:cs="Arial"/>
          <w:szCs w:val="22"/>
        </w:rPr>
        <w:t xml:space="preserve">Le nom donné à l’enveloppe électronique d’offre sera </w:t>
      </w:r>
      <w:r>
        <w:rPr>
          <w:rFonts w:cs="Arial"/>
          <w:szCs w:val="22"/>
        </w:rPr>
        <w:t xml:space="preserve">Offre.zip </w:t>
      </w:r>
    </w:p>
    <w:p w:rsidR="009521D0" w:rsidRDefault="009521D0" w:rsidP="009521D0">
      <w:pPr>
        <w:tabs>
          <w:tab w:val="left" w:pos="1560"/>
        </w:tabs>
        <w:jc w:val="both"/>
        <w:rPr>
          <w:rFonts w:cs="Arial"/>
          <w:szCs w:val="22"/>
        </w:rPr>
      </w:pPr>
      <w:r w:rsidRPr="0073377E">
        <w:rPr>
          <w:rFonts w:cs="Arial"/>
          <w:b/>
          <w:szCs w:val="22"/>
        </w:rPr>
        <w:t>L’enveloppe électronique d’offre ne doit pas contenir de sous-fichiers (ni fichiers .zip, ni sous-répertoires).</w:t>
      </w:r>
      <w:r w:rsidRPr="00FF2FDA">
        <w:rPr>
          <w:rFonts w:cs="Arial"/>
          <w:b/>
          <w:szCs w:val="22"/>
        </w:rPr>
        <w:t xml:space="preserve"> </w:t>
      </w:r>
      <w:r w:rsidRPr="0073377E">
        <w:rPr>
          <w:rFonts w:cs="Arial"/>
          <w:b/>
          <w:szCs w:val="22"/>
        </w:rPr>
        <w:t>Le nombre de caractères du nom de chaqu</w:t>
      </w:r>
      <w:r w:rsidRPr="00ED2F84">
        <w:rPr>
          <w:rFonts w:cs="Arial"/>
          <w:b/>
          <w:szCs w:val="22"/>
        </w:rPr>
        <w:t xml:space="preserve">e </w:t>
      </w:r>
      <w:r>
        <w:rPr>
          <w:rFonts w:cs="Arial"/>
          <w:b/>
          <w:szCs w:val="22"/>
        </w:rPr>
        <w:t>document</w:t>
      </w:r>
      <w:r w:rsidRPr="00ED2F84">
        <w:rPr>
          <w:rFonts w:cs="Arial"/>
          <w:b/>
          <w:szCs w:val="22"/>
        </w:rPr>
        <w:t xml:space="preserve"> ne doit pas dépasser 2</w:t>
      </w:r>
      <w:r w:rsidRPr="0073377E">
        <w:rPr>
          <w:rFonts w:cs="Arial"/>
          <w:b/>
          <w:szCs w:val="22"/>
        </w:rPr>
        <w:t>0 caractères</w:t>
      </w:r>
      <w:r>
        <w:rPr>
          <w:rFonts w:cs="Arial"/>
          <w:b/>
          <w:szCs w:val="22"/>
        </w:rPr>
        <w:t>.</w:t>
      </w:r>
      <w:r w:rsidRPr="009521D0">
        <w:rPr>
          <w:rFonts w:cs="Arial"/>
          <w:szCs w:val="22"/>
        </w:rPr>
        <w:t xml:space="preserve"> </w:t>
      </w:r>
      <w:r w:rsidRPr="00F603A9">
        <w:rPr>
          <w:rFonts w:cs="Arial"/>
          <w:szCs w:val="22"/>
        </w:rPr>
        <w:t xml:space="preserve">Ces </w:t>
      </w:r>
      <w:r>
        <w:rPr>
          <w:rFonts w:cs="Arial"/>
          <w:szCs w:val="22"/>
        </w:rPr>
        <w:t>documents</w:t>
      </w:r>
      <w:r w:rsidRPr="00F603A9">
        <w:rPr>
          <w:rFonts w:cs="Arial"/>
          <w:szCs w:val="22"/>
        </w:rPr>
        <w:t xml:space="preserve"> doivent être nommés selon le contenu du fichier</w:t>
      </w:r>
      <w:r>
        <w:rPr>
          <w:rFonts w:cs="Arial"/>
          <w:szCs w:val="22"/>
        </w:rPr>
        <w:t>.</w:t>
      </w:r>
    </w:p>
    <w:p w:rsidR="009521D0" w:rsidRPr="0073377E" w:rsidRDefault="009521D0" w:rsidP="009521D0">
      <w:pPr>
        <w:adjustRightInd w:val="0"/>
        <w:jc w:val="both"/>
        <w:rPr>
          <w:rFonts w:cs="Arial"/>
          <w:b/>
          <w:szCs w:val="22"/>
        </w:rPr>
      </w:pPr>
    </w:p>
    <w:p w:rsidR="00FA2C61" w:rsidRPr="00F603A9" w:rsidRDefault="00FA2C61" w:rsidP="00FA2C61">
      <w:pPr>
        <w:adjustRightInd w:val="0"/>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3.3. Etre inscrit sur la plate-forme (cf. paragraphe 2 ci-avant),</w:t>
      </w:r>
    </w:p>
    <w:p w:rsidR="00FA2C61" w:rsidRPr="00F603A9" w:rsidRDefault="00FA2C61" w:rsidP="00FA2C61">
      <w:pPr>
        <w:adjustRightInd w:val="0"/>
        <w:ind w:left="708"/>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3.4. Accepter les conditions d'utilisation de la plate-forme ci-dessous pour accéder au formulaire de réponse,</w:t>
      </w:r>
    </w:p>
    <w:p w:rsidR="00FA2C61" w:rsidRPr="00BE73D7" w:rsidRDefault="00FA2C61" w:rsidP="00BE73D7">
      <w:pPr>
        <w:pStyle w:val="P1paragraphe1"/>
        <w:spacing w:before="0" w:line="240" w:lineRule="auto"/>
        <w:ind w:left="0"/>
        <w:rPr>
          <w:rFonts w:cs="Arial"/>
          <w:i/>
          <w:iCs/>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 xml:space="preserve">3.5. Remplir le formulaire de réponse et cliquer sur le bouton </w:t>
      </w:r>
      <w:r w:rsidR="00FC7580">
        <w:rPr>
          <w:rFonts w:ascii="Arial" w:hAnsi="Arial" w:cs="Arial"/>
          <w:i/>
          <w:iCs/>
          <w:sz w:val="22"/>
          <w:szCs w:val="22"/>
        </w:rPr>
        <w:t>Valider</w:t>
      </w:r>
      <w:r w:rsidRPr="00BE73D7">
        <w:rPr>
          <w:rFonts w:ascii="Arial" w:hAnsi="Arial" w:cs="Arial"/>
          <w:i/>
          <w:iCs/>
          <w:sz w:val="22"/>
          <w:szCs w:val="22"/>
        </w:rPr>
        <w:t xml:space="preserve"> pour envoyer les enveloppes.</w:t>
      </w:r>
    </w:p>
    <w:p w:rsidR="00FA2C61" w:rsidRPr="00F603A9" w:rsidRDefault="00FA2C61" w:rsidP="00FA2C61">
      <w:pPr>
        <w:adjustRightInd w:val="0"/>
        <w:ind w:firstLine="708"/>
        <w:jc w:val="both"/>
        <w:rPr>
          <w:rFonts w:cs="Arial"/>
          <w:szCs w:val="22"/>
        </w:rPr>
      </w:pPr>
    </w:p>
    <w:p w:rsidR="00FA2C61" w:rsidRDefault="00FA2C61" w:rsidP="00FA2C61">
      <w:pPr>
        <w:adjustRightInd w:val="0"/>
        <w:jc w:val="both"/>
        <w:rPr>
          <w:rFonts w:cs="Arial"/>
          <w:szCs w:val="22"/>
        </w:rPr>
      </w:pPr>
      <w:r w:rsidRPr="003B2E81">
        <w:rPr>
          <w:rFonts w:cs="Arial"/>
          <w:szCs w:val="22"/>
          <w:u w:val="single"/>
        </w:rPr>
        <w:t xml:space="preserve">- une étape passive : </w:t>
      </w:r>
    </w:p>
    <w:p w:rsidR="00FA2C61" w:rsidRPr="00F603A9" w:rsidRDefault="00FA2C61" w:rsidP="00FA2C61">
      <w:pPr>
        <w:adjustRightInd w:val="0"/>
        <w:ind w:firstLine="708"/>
        <w:jc w:val="both"/>
        <w:rPr>
          <w:rFonts w:cs="Arial"/>
          <w:szCs w:val="22"/>
        </w:rPr>
      </w:pPr>
      <w:r w:rsidRPr="00F603A9">
        <w:rPr>
          <w:rFonts w:cs="Arial"/>
          <w:szCs w:val="22"/>
        </w:rPr>
        <w:t>3.6. : la réception de l'accusé de réception.</w:t>
      </w:r>
    </w:p>
    <w:p w:rsidR="00FA2C61" w:rsidRPr="00F603A9" w:rsidRDefault="00FA2C61" w:rsidP="00FA2C61">
      <w:pPr>
        <w:adjustRightInd w:val="0"/>
        <w:jc w:val="both"/>
        <w:rPr>
          <w:rFonts w:cs="Arial"/>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iCs/>
          <w:sz w:val="22"/>
          <w:szCs w:val="22"/>
          <w:u w:val="single"/>
        </w:rPr>
        <w:t>4</w:t>
      </w:r>
      <w:r w:rsidRPr="00F603A9">
        <w:rPr>
          <w:rFonts w:ascii="Arial" w:hAnsi="Arial" w:cs="Arial"/>
          <w:b/>
          <w:iCs/>
          <w:sz w:val="22"/>
          <w:szCs w:val="22"/>
          <w:u w:val="single"/>
        </w:rPr>
        <w:t xml:space="preserve">.  </w:t>
      </w:r>
      <w:r w:rsidR="00BE6106">
        <w:rPr>
          <w:rFonts w:ascii="Arial" w:hAnsi="Arial" w:cs="Arial"/>
          <w:b/>
          <w:iCs/>
          <w:sz w:val="22"/>
          <w:szCs w:val="22"/>
          <w:u w:val="single"/>
        </w:rPr>
        <w:t>T</w:t>
      </w:r>
      <w:r>
        <w:rPr>
          <w:rFonts w:ascii="Arial" w:hAnsi="Arial" w:cs="Arial"/>
          <w:b/>
          <w:iCs/>
          <w:sz w:val="22"/>
          <w:szCs w:val="22"/>
          <w:u w:val="single"/>
        </w:rPr>
        <w:t xml:space="preserve">ransfert </w:t>
      </w:r>
      <w:r w:rsidRPr="00F603A9">
        <w:rPr>
          <w:rFonts w:ascii="Arial" w:hAnsi="Arial" w:cs="Arial"/>
          <w:b/>
          <w:iCs/>
          <w:sz w:val="22"/>
          <w:szCs w:val="22"/>
          <w:u w:val="single"/>
        </w:rPr>
        <w:t>de la réponse par le soumissionnaire</w:t>
      </w:r>
    </w:p>
    <w:p w:rsidR="00FA2C61" w:rsidRDefault="00FA2C61" w:rsidP="00FA2C61">
      <w:pPr>
        <w:adjustRightInd w:val="0"/>
        <w:jc w:val="both"/>
        <w:rPr>
          <w:rFonts w:cs="Arial"/>
          <w:sz w:val="24"/>
        </w:rPr>
      </w:pPr>
      <w:r>
        <w:rPr>
          <w:rFonts w:cs="Arial"/>
          <w:sz w:val="24"/>
        </w:rPr>
        <w:t>En validant sa page de réponse, le soumissionnaire engage l</w:t>
      </w:r>
      <w:r w:rsidR="00BE6106">
        <w:rPr>
          <w:rFonts w:cs="Arial"/>
          <w:sz w:val="24"/>
        </w:rPr>
        <w:t>’</w:t>
      </w:r>
      <w:r>
        <w:rPr>
          <w:rFonts w:cs="Arial"/>
          <w:sz w:val="24"/>
        </w:rPr>
        <w:t>action suivante :</w:t>
      </w:r>
    </w:p>
    <w:p w:rsidR="00FA2C61" w:rsidRDefault="00FA2C61" w:rsidP="00FA2C61">
      <w:pPr>
        <w:adjustRightInd w:val="0"/>
        <w:jc w:val="both"/>
        <w:rPr>
          <w:rFonts w:ascii="Symbol" w:hAnsi="Symbol" w:cs="Symbol"/>
          <w:sz w:val="24"/>
        </w:rPr>
      </w:pPr>
    </w:p>
    <w:p w:rsidR="00FA2C61" w:rsidRDefault="00FA2C61" w:rsidP="00FA2C61">
      <w:pPr>
        <w:adjustRightInd w:val="0"/>
        <w:jc w:val="both"/>
        <w:rPr>
          <w:rFonts w:cs="Arial"/>
          <w:sz w:val="24"/>
        </w:rPr>
      </w:pPr>
      <w:r>
        <w:rPr>
          <w:rFonts w:ascii="Symbol" w:hAnsi="Symbol" w:cs="Symbol"/>
          <w:sz w:val="24"/>
        </w:rPr>
        <w:t></w:t>
      </w:r>
      <w:r>
        <w:rPr>
          <w:rFonts w:ascii="Symbol" w:hAnsi="Symbol" w:cs="Symbol"/>
          <w:sz w:val="24"/>
        </w:rPr>
        <w:t></w:t>
      </w:r>
      <w:r>
        <w:rPr>
          <w:rFonts w:cs="Arial"/>
          <w:sz w:val="24"/>
        </w:rPr>
        <w:t>Transfert des données,</w:t>
      </w:r>
    </w:p>
    <w:p w:rsidR="00FA2C61" w:rsidRDefault="00FA2C61" w:rsidP="00FA2C61">
      <w:pPr>
        <w:adjustRightInd w:val="0"/>
        <w:ind w:left="708"/>
        <w:jc w:val="both"/>
        <w:rPr>
          <w:rFonts w:cs="Arial"/>
          <w:sz w:val="24"/>
        </w:rPr>
      </w:pPr>
      <w:r>
        <w:rPr>
          <w:rFonts w:cs="Arial"/>
          <w:sz w:val="24"/>
        </w:rPr>
        <w:t>- envoi de l'ensemble des fichiers (signés et chiffrés le cas échéant) vers le serveur,</w:t>
      </w:r>
    </w:p>
    <w:p w:rsidR="00FA2C61" w:rsidRDefault="00FA2C61" w:rsidP="00FA2C61">
      <w:pPr>
        <w:adjustRightInd w:val="0"/>
        <w:ind w:firstLine="708"/>
        <w:rPr>
          <w:rFonts w:cs="Arial"/>
          <w:sz w:val="24"/>
        </w:rPr>
      </w:pPr>
      <w:r>
        <w:rPr>
          <w:rFonts w:cs="Arial"/>
          <w:sz w:val="24"/>
        </w:rPr>
        <w:t>- émission d'un Accusé de réception en fin de réception.</w:t>
      </w:r>
    </w:p>
    <w:p w:rsidR="00FA2C61" w:rsidRDefault="00FA2C61" w:rsidP="00FA2C61">
      <w:pPr>
        <w:adjustRightInd w:val="0"/>
        <w:rPr>
          <w:rFonts w:cs="Arial"/>
          <w:sz w:val="24"/>
        </w:rPr>
      </w:pPr>
    </w:p>
    <w:p w:rsidR="00FA2C61" w:rsidRDefault="00FA2C61" w:rsidP="00FA2C61">
      <w:pPr>
        <w:adjustRightInd w:val="0"/>
        <w:rPr>
          <w:rFonts w:cs="Arial"/>
          <w:szCs w:val="22"/>
        </w:rPr>
      </w:pPr>
      <w:r>
        <w:rPr>
          <w:rFonts w:cs="Arial"/>
          <w:sz w:val="24"/>
        </w:rPr>
        <w:t>Une barre d'avancement est présentée pendant le temps de transfert de la réponse électronique, présentant la séquence des événements.</w:t>
      </w:r>
    </w:p>
    <w:p w:rsidR="00FA2C61" w:rsidRPr="00F603A9" w:rsidRDefault="00FA2C61" w:rsidP="00FA2C61">
      <w:pPr>
        <w:jc w:val="both"/>
        <w:rPr>
          <w:rFonts w:cs="Arial"/>
          <w:szCs w:val="22"/>
        </w:rPr>
      </w:pPr>
    </w:p>
    <w:p w:rsidR="00FA2C61" w:rsidRPr="00F603A9" w:rsidRDefault="00FA2C61" w:rsidP="00FA2C61">
      <w:pPr>
        <w:pStyle w:val="P1paragraphe1"/>
        <w:spacing w:before="0" w:line="240" w:lineRule="auto"/>
        <w:ind w:left="0"/>
        <w:rPr>
          <w:rFonts w:ascii="Arial" w:hAnsi="Arial" w:cs="Arial"/>
          <w:i/>
          <w:sz w:val="22"/>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5</w:t>
      </w:r>
      <w:r w:rsidRPr="005F5927">
        <w:rPr>
          <w:rFonts w:ascii="Arial" w:hAnsi="Arial" w:cs="Arial"/>
          <w:b/>
          <w:sz w:val="22"/>
          <w:szCs w:val="22"/>
          <w:u w:val="single"/>
        </w:rPr>
        <w:t>. Questions</w:t>
      </w:r>
      <w:r w:rsidRPr="00F603A9">
        <w:rPr>
          <w:rFonts w:ascii="Arial" w:hAnsi="Arial" w:cs="Arial"/>
          <w:b/>
          <w:sz w:val="22"/>
          <w:szCs w:val="22"/>
          <w:u w:val="single"/>
        </w:rPr>
        <w:t xml:space="preserve"> relatives à la consultation</w:t>
      </w:r>
    </w:p>
    <w:p w:rsidR="00FA2C61" w:rsidRPr="00F603A9" w:rsidRDefault="00E27A95" w:rsidP="00FA2C61">
      <w:pPr>
        <w:tabs>
          <w:tab w:val="left" w:pos="1560"/>
        </w:tabs>
        <w:jc w:val="both"/>
        <w:rPr>
          <w:rFonts w:cs="Arial"/>
          <w:szCs w:val="22"/>
        </w:rPr>
      </w:pPr>
      <w:r>
        <w:rPr>
          <w:rFonts w:cs="Arial"/>
          <w:sz w:val="24"/>
        </w:rPr>
        <w:t xml:space="preserve">Un soumissionnaire doit </w:t>
      </w:r>
      <w:r w:rsidR="00FA2C61">
        <w:rPr>
          <w:rFonts w:cs="Arial"/>
          <w:sz w:val="24"/>
        </w:rPr>
        <w:t>poser une question à propos d’une consultation, en cliquant sur le lien « Poser une question ».</w:t>
      </w:r>
    </w:p>
    <w:p w:rsidR="00FA2C61" w:rsidRPr="00F603A9" w:rsidRDefault="00FA2C61" w:rsidP="00FA2C61">
      <w:pPr>
        <w:tabs>
          <w:tab w:val="left" w:pos="1560"/>
        </w:tabs>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CE5B43" w:rsidRDefault="00CE5B43" w:rsidP="00CE5B43">
      <w:pPr>
        <w:pStyle w:val="P1paragraphe1"/>
        <w:spacing w:before="0" w:line="240" w:lineRule="auto"/>
        <w:ind w:left="0"/>
        <w:rPr>
          <w:rFonts w:ascii="Arial" w:hAnsi="Arial" w:cs="Arial"/>
          <w:b/>
          <w:sz w:val="22"/>
          <w:szCs w:val="22"/>
          <w:u w:val="single"/>
        </w:rPr>
      </w:pPr>
    </w:p>
    <w:p w:rsidR="00CE5B43" w:rsidRPr="00F603A9" w:rsidRDefault="00CE5B43" w:rsidP="00CE5B43">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6</w:t>
      </w:r>
      <w:r w:rsidRPr="005F5927">
        <w:rPr>
          <w:rFonts w:ascii="Arial" w:hAnsi="Arial" w:cs="Arial"/>
          <w:b/>
          <w:sz w:val="22"/>
          <w:szCs w:val="22"/>
          <w:u w:val="single"/>
        </w:rPr>
        <w:t>.</w:t>
      </w:r>
      <w:r>
        <w:rPr>
          <w:rFonts w:ascii="Arial" w:hAnsi="Arial" w:cs="Arial"/>
          <w:b/>
          <w:sz w:val="22"/>
          <w:szCs w:val="22"/>
          <w:u w:val="single"/>
        </w:rPr>
        <w:t>Transmission d’un engagement de confidentialité pour obtention d’un cahier des charges en cas de procédure ouverte</w:t>
      </w:r>
    </w:p>
    <w:p w:rsidR="00CE5B43" w:rsidRDefault="00CE5B43" w:rsidP="00CE5B43">
      <w:pPr>
        <w:tabs>
          <w:tab w:val="left" w:pos="1560"/>
        </w:tabs>
        <w:jc w:val="both"/>
        <w:rPr>
          <w:rFonts w:cs="Arial"/>
          <w:sz w:val="24"/>
        </w:rPr>
      </w:pPr>
      <w:r>
        <w:rPr>
          <w:rFonts w:cs="Arial"/>
          <w:sz w:val="24"/>
        </w:rPr>
        <w:t>Le soumissionnaire doit déposer une question à propos d’une consultation (demande de cahier des charges, en cliquant sur le lien « Poser une question ».</w:t>
      </w:r>
    </w:p>
    <w:p w:rsidR="00CE5B43" w:rsidRPr="00F603A9" w:rsidRDefault="00CE5B43" w:rsidP="00CE5B43">
      <w:pPr>
        <w:tabs>
          <w:tab w:val="left" w:pos="1560"/>
        </w:tabs>
        <w:jc w:val="both"/>
        <w:rPr>
          <w:rFonts w:cs="Arial"/>
          <w:szCs w:val="22"/>
        </w:rPr>
      </w:pPr>
      <w:r>
        <w:rPr>
          <w:rFonts w:cs="Arial"/>
          <w:sz w:val="24"/>
        </w:rPr>
        <w:t>Il joint à sa question l’engagement de confidentialité signé</w:t>
      </w:r>
    </w:p>
    <w:p w:rsidR="00CE5B43" w:rsidRPr="00F603A9" w:rsidRDefault="00CE5B43" w:rsidP="00CE5B43">
      <w:pPr>
        <w:tabs>
          <w:tab w:val="left" w:pos="1560"/>
        </w:tabs>
        <w:jc w:val="both"/>
        <w:rPr>
          <w:rFonts w:cs="Arial"/>
          <w:szCs w:val="22"/>
        </w:rPr>
      </w:pPr>
    </w:p>
    <w:p w:rsidR="00CE5B43" w:rsidRPr="00F603A9" w:rsidRDefault="00CE5B43" w:rsidP="00CE5B43">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FA2C61" w:rsidRDefault="00FA2C61" w:rsidP="00FA2C61">
      <w:pPr>
        <w:tabs>
          <w:tab w:val="left" w:pos="1560"/>
        </w:tabs>
        <w:jc w:val="both"/>
        <w:rPr>
          <w:rFonts w:cs="Arial"/>
          <w:szCs w:val="22"/>
        </w:rPr>
      </w:pPr>
    </w:p>
    <w:p w:rsidR="00A111F3" w:rsidRDefault="00A111F3">
      <w:pPr>
        <w:rPr>
          <w:rFonts w:cs="Arial"/>
          <w:szCs w:val="22"/>
        </w:rPr>
      </w:pPr>
      <w:r>
        <w:rPr>
          <w:rFonts w:cs="Arial"/>
          <w:szCs w:val="22"/>
        </w:rPr>
        <w:br w:type="page"/>
      </w:r>
    </w:p>
    <w:p w:rsidR="00FA2C61" w:rsidRPr="00F603A9" w:rsidRDefault="00FA2C61" w:rsidP="00FA2C61">
      <w:pPr>
        <w:tabs>
          <w:tab w:val="left" w:pos="1560"/>
        </w:tabs>
        <w:jc w:val="both"/>
        <w:rPr>
          <w:rFonts w:cs="Arial"/>
          <w:szCs w:val="22"/>
        </w:rPr>
      </w:pPr>
    </w:p>
    <w:p w:rsidR="00FA2C61" w:rsidRPr="00F603A9" w:rsidRDefault="00CE5B43" w:rsidP="00FA2C61">
      <w:pPr>
        <w:pStyle w:val="P1paragraphe1"/>
        <w:spacing w:before="0" w:line="240" w:lineRule="auto"/>
        <w:ind w:left="0"/>
        <w:rPr>
          <w:rFonts w:ascii="Arial" w:hAnsi="Arial" w:cs="Arial"/>
          <w:b/>
          <w:sz w:val="22"/>
          <w:szCs w:val="22"/>
          <w:u w:val="single"/>
        </w:rPr>
      </w:pPr>
      <w:r>
        <w:rPr>
          <w:rFonts w:ascii="Arial" w:hAnsi="Arial" w:cs="Arial"/>
          <w:b/>
          <w:sz w:val="22"/>
          <w:szCs w:val="22"/>
          <w:u w:val="single"/>
        </w:rPr>
        <w:t>7</w:t>
      </w:r>
      <w:r w:rsidR="00FA2C61" w:rsidRPr="00F603A9">
        <w:rPr>
          <w:rFonts w:ascii="Arial" w:hAnsi="Arial" w:cs="Arial"/>
          <w:b/>
          <w:sz w:val="22"/>
          <w:szCs w:val="22"/>
          <w:u w:val="single"/>
        </w:rPr>
        <w:t xml:space="preserve">. </w:t>
      </w:r>
      <w:r w:rsidR="00FA2C61">
        <w:rPr>
          <w:rFonts w:ascii="Arial" w:hAnsi="Arial" w:cs="Arial"/>
          <w:b/>
          <w:sz w:val="22"/>
          <w:szCs w:val="22"/>
          <w:u w:val="single"/>
        </w:rPr>
        <w:t>Messagerie sécurisée</w:t>
      </w:r>
    </w:p>
    <w:p w:rsidR="00FA2C61" w:rsidRPr="009C649F" w:rsidRDefault="00FA2C61" w:rsidP="00FA2C61">
      <w:pPr>
        <w:adjustRightInd w:val="0"/>
        <w:jc w:val="both"/>
        <w:rPr>
          <w:rFonts w:cs="Arial"/>
          <w:szCs w:val="22"/>
        </w:rPr>
      </w:pPr>
      <w:r w:rsidRPr="009C649F">
        <w:rPr>
          <w:rFonts w:cs="Arial"/>
          <w:szCs w:val="22"/>
        </w:rPr>
        <w:t xml:space="preserve">La plate-forme intègre nativement une fonction de Messagerie sécurisée avec accusé de réception opposable, qui permet </w:t>
      </w:r>
      <w:r>
        <w:rPr>
          <w:rFonts w:cs="Arial"/>
          <w:szCs w:val="22"/>
        </w:rPr>
        <w:t>au CEA</w:t>
      </w:r>
      <w:r w:rsidRPr="009C649F">
        <w:rPr>
          <w:rFonts w:cs="Arial"/>
          <w:szCs w:val="22"/>
        </w:rPr>
        <w:t xml:space="preserve"> d'échanger des courriers électroniques sécurisés avec les soumissionnaires selon le même principe que les lettres recommandées avec accusé de réception.</w:t>
      </w:r>
    </w:p>
    <w:p w:rsidR="00FA2C61" w:rsidRPr="009C649F" w:rsidRDefault="00FA2C61" w:rsidP="00FA2C61">
      <w:pPr>
        <w:adjustRightInd w:val="0"/>
        <w:jc w:val="both"/>
        <w:rPr>
          <w:rFonts w:cs="Arial"/>
          <w:szCs w:val="22"/>
        </w:rPr>
      </w:pPr>
      <w:r w:rsidRPr="009C649F">
        <w:rPr>
          <w:rFonts w:cs="Arial"/>
          <w:szCs w:val="22"/>
        </w:rPr>
        <w:t xml:space="preserve">Que ce soit pour demander des compléments, des précisions ou pour notifier une décision de l’organisme, cette fonction permet une continuité dans la dématérialisation des échanges entre </w:t>
      </w:r>
      <w:r>
        <w:rPr>
          <w:rFonts w:cs="Arial"/>
          <w:szCs w:val="22"/>
        </w:rPr>
        <w:t>le CEA</w:t>
      </w:r>
      <w:r w:rsidRPr="009C649F">
        <w:rPr>
          <w:rFonts w:cs="Arial"/>
          <w:szCs w:val="22"/>
        </w:rPr>
        <w:t xml:space="preserve"> et les Entreprises.</w:t>
      </w:r>
    </w:p>
    <w:p w:rsidR="00FA2C61" w:rsidRPr="009C649F" w:rsidRDefault="00FA2C61" w:rsidP="00FA2C61">
      <w:pPr>
        <w:adjustRightInd w:val="0"/>
        <w:jc w:val="both"/>
        <w:rPr>
          <w:rFonts w:cs="Arial"/>
          <w:szCs w:val="22"/>
        </w:rPr>
      </w:pPr>
      <w:r w:rsidRPr="009C649F">
        <w:rPr>
          <w:rFonts w:cs="Arial"/>
          <w:szCs w:val="22"/>
        </w:rPr>
        <w:t>De façon analogue à une lettre recommandée avec accusé de réception, le courrier électronique fait l’objet d’un accusé de réception horodaté par le destinataire.</w:t>
      </w:r>
    </w:p>
    <w:p w:rsidR="00FA2C61"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CE5B43" w:rsidP="00FA2C61">
      <w:pPr>
        <w:pStyle w:val="P1paragraphe1"/>
        <w:spacing w:before="0" w:line="240" w:lineRule="auto"/>
        <w:ind w:left="0"/>
        <w:rPr>
          <w:rFonts w:ascii="Arial" w:hAnsi="Arial" w:cs="Arial"/>
          <w:b/>
          <w:bCs/>
          <w:sz w:val="22"/>
          <w:szCs w:val="22"/>
          <w:u w:val="single"/>
        </w:rPr>
      </w:pPr>
      <w:r>
        <w:rPr>
          <w:rFonts w:ascii="Arial" w:hAnsi="Arial" w:cs="Arial"/>
          <w:b/>
          <w:sz w:val="22"/>
          <w:szCs w:val="22"/>
          <w:u w:val="single"/>
        </w:rPr>
        <w:t>8</w:t>
      </w:r>
      <w:r w:rsidR="00FA2C61" w:rsidRPr="00F603A9">
        <w:rPr>
          <w:rFonts w:ascii="Arial" w:hAnsi="Arial" w:cs="Arial"/>
          <w:b/>
          <w:sz w:val="22"/>
          <w:szCs w:val="22"/>
          <w:u w:val="single"/>
        </w:rPr>
        <w:t>. Confidentialité</w:t>
      </w:r>
    </w:p>
    <w:p w:rsidR="00FA2C61" w:rsidRPr="00F603A9" w:rsidRDefault="00FA2C61" w:rsidP="00FA2C61">
      <w:pPr>
        <w:jc w:val="both"/>
        <w:rPr>
          <w:rFonts w:cs="Arial"/>
          <w:szCs w:val="22"/>
        </w:rPr>
      </w:pPr>
      <w:r w:rsidRPr="00F603A9">
        <w:rPr>
          <w:rFonts w:cs="Arial"/>
          <w:szCs w:val="22"/>
        </w:rPr>
        <w:t>La plateforme de dématérialisation du CEA ne doit pas gérer d’informations classifiées de défense. Le processus papier est le seul canal autorisé pour les marchés classifiés de défense et sensibles.</w:t>
      </w:r>
    </w:p>
    <w:p w:rsidR="00FA2C61" w:rsidRPr="00F603A9" w:rsidRDefault="00FA2C61" w:rsidP="00FA2C61">
      <w:pPr>
        <w:jc w:val="both"/>
        <w:rPr>
          <w:rFonts w:cs="Arial"/>
          <w:szCs w:val="22"/>
        </w:rPr>
      </w:pPr>
    </w:p>
    <w:p w:rsidR="00D63E19" w:rsidRPr="00AC5837" w:rsidRDefault="00FA2C61" w:rsidP="00AC5837">
      <w:pPr>
        <w:jc w:val="center"/>
        <w:rPr>
          <w:rFonts w:cs="Arial"/>
          <w:szCs w:val="22"/>
        </w:rPr>
      </w:pPr>
      <w:proofErr w:type="spellStart"/>
      <w:r w:rsidRPr="00F603A9">
        <w:rPr>
          <w:rFonts w:cs="Arial"/>
          <w:szCs w:val="22"/>
        </w:rPr>
        <w:t>oooOooo</w:t>
      </w:r>
      <w:proofErr w:type="spellEnd"/>
    </w:p>
    <w:sectPr w:rsidR="00D63E19" w:rsidRPr="00AC58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2C5"/>
    <w:multiLevelType w:val="hybridMultilevel"/>
    <w:tmpl w:val="3AAE8E86"/>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C61"/>
    <w:rsid w:val="000D7A68"/>
    <w:rsid w:val="000E3EF8"/>
    <w:rsid w:val="00185A82"/>
    <w:rsid w:val="00374C36"/>
    <w:rsid w:val="00634980"/>
    <w:rsid w:val="006A16E9"/>
    <w:rsid w:val="006D2D15"/>
    <w:rsid w:val="006E14C5"/>
    <w:rsid w:val="007058D0"/>
    <w:rsid w:val="008B68F0"/>
    <w:rsid w:val="00926A18"/>
    <w:rsid w:val="009521D0"/>
    <w:rsid w:val="00A111F3"/>
    <w:rsid w:val="00A62511"/>
    <w:rsid w:val="00AB3FFE"/>
    <w:rsid w:val="00AC5837"/>
    <w:rsid w:val="00B45524"/>
    <w:rsid w:val="00BD3B3E"/>
    <w:rsid w:val="00BE24AB"/>
    <w:rsid w:val="00BE6106"/>
    <w:rsid w:val="00BE73D7"/>
    <w:rsid w:val="00C565D8"/>
    <w:rsid w:val="00CB2C6C"/>
    <w:rsid w:val="00CB57B2"/>
    <w:rsid w:val="00CE5B43"/>
    <w:rsid w:val="00D00591"/>
    <w:rsid w:val="00D63E19"/>
    <w:rsid w:val="00E27A95"/>
    <w:rsid w:val="00EA3D87"/>
    <w:rsid w:val="00F31D3C"/>
    <w:rsid w:val="00FA2C61"/>
    <w:rsid w:val="00FC75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DE97F91"/>
  <w15:docId w15:val="{02DE4E28-6C63-4FC3-8F20-824C24F9C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2C61"/>
    <w:rPr>
      <w:rFonts w:eastAsia="Times New Roman" w:cs="Times New Roman"/>
      <w:sz w:val="22"/>
      <w:szCs w:val="24"/>
    </w:rPr>
  </w:style>
  <w:style w:type="paragraph" w:styleId="Titre1">
    <w:name w:val="heading 1"/>
    <w:basedOn w:val="Titre"/>
    <w:next w:val="Normal"/>
    <w:link w:val="Titre1Car"/>
    <w:qFormat/>
    <w:rsid w:val="00FA2C61"/>
    <w:pPr>
      <w:numPr>
        <w:numId w:val="1"/>
      </w:numPr>
      <w:pBdr>
        <w:bottom w:val="none" w:sz="0" w:space="0" w:color="auto"/>
      </w:pBdr>
      <w:spacing w:after="0"/>
      <w:contextualSpacing w:val="0"/>
      <w:outlineLvl w:val="0"/>
    </w:pPr>
    <w:rPr>
      <w:rFonts w:ascii="Arial" w:hAnsi="Arial" w:cs="Arial"/>
      <w:b/>
      <w:color w:val="auto"/>
      <w:spacing w:val="0"/>
      <w:kern w:val="0"/>
      <w:sz w:val="22"/>
      <w:szCs w:val="22"/>
    </w:rPr>
  </w:style>
  <w:style w:type="paragraph" w:styleId="Titre2">
    <w:name w:val="heading 2"/>
    <w:basedOn w:val="Normal"/>
    <w:next w:val="Normal"/>
    <w:link w:val="Titre2Car"/>
    <w:qFormat/>
    <w:rsid w:val="00FA2C61"/>
    <w:pPr>
      <w:numPr>
        <w:ilvl w:val="1"/>
        <w:numId w:val="1"/>
      </w:numPr>
      <w:jc w:val="both"/>
      <w:outlineLvl w:val="1"/>
    </w:pPr>
    <w:rPr>
      <w:rFonts w:cs="Arial"/>
      <w:b/>
      <w:szCs w:val="22"/>
    </w:rPr>
  </w:style>
  <w:style w:type="paragraph" w:styleId="Titre3">
    <w:name w:val="heading 3"/>
    <w:basedOn w:val="Normal"/>
    <w:next w:val="Normal"/>
    <w:link w:val="Titre3Car"/>
    <w:qFormat/>
    <w:rsid w:val="00FA2C61"/>
    <w:pPr>
      <w:numPr>
        <w:ilvl w:val="2"/>
        <w:numId w:val="1"/>
      </w:numPr>
      <w:jc w:val="both"/>
      <w:outlineLvl w:val="2"/>
    </w:pPr>
    <w:rPr>
      <w:rFonts w:cs="Arial"/>
      <w:i/>
      <w:szCs w:val="22"/>
      <w:u w:val="single"/>
    </w:rPr>
  </w:style>
  <w:style w:type="paragraph" w:styleId="Titre4">
    <w:name w:val="heading 4"/>
    <w:basedOn w:val="Titre2"/>
    <w:next w:val="Normal"/>
    <w:link w:val="Titre4Car"/>
    <w:qFormat/>
    <w:rsid w:val="00FA2C61"/>
    <w:pPr>
      <w:numPr>
        <w:ilvl w:val="3"/>
      </w:numPr>
      <w:outlineLvl w:val="3"/>
    </w:pPr>
  </w:style>
  <w:style w:type="paragraph" w:styleId="Titre5">
    <w:name w:val="heading 5"/>
    <w:basedOn w:val="Titre3"/>
    <w:next w:val="Normal"/>
    <w:link w:val="Titre5Car"/>
    <w:qFormat/>
    <w:rsid w:val="00FA2C61"/>
    <w:pPr>
      <w:numPr>
        <w:ilvl w:val="4"/>
      </w:numPr>
      <w:outlineLvl w:val="4"/>
    </w:pPr>
  </w:style>
  <w:style w:type="paragraph" w:styleId="Titre6">
    <w:name w:val="heading 6"/>
    <w:basedOn w:val="Titre5"/>
    <w:next w:val="Normal"/>
    <w:link w:val="Titre6Car"/>
    <w:qFormat/>
    <w:rsid w:val="00FA2C61"/>
    <w:pPr>
      <w:numPr>
        <w:ilvl w:val="5"/>
      </w:numPr>
      <w:outlineLvl w:val="5"/>
    </w:pPr>
  </w:style>
  <w:style w:type="paragraph" w:styleId="Titre7">
    <w:name w:val="heading 7"/>
    <w:basedOn w:val="Titre6"/>
    <w:next w:val="Normal"/>
    <w:link w:val="Titre7Car"/>
    <w:qFormat/>
    <w:rsid w:val="00FA2C61"/>
    <w:pPr>
      <w:numPr>
        <w:ilvl w:val="6"/>
      </w:numPr>
      <w:outlineLvl w:val="6"/>
    </w:pPr>
  </w:style>
  <w:style w:type="paragraph" w:styleId="Titre8">
    <w:name w:val="heading 8"/>
    <w:basedOn w:val="Normal"/>
    <w:next w:val="Normal"/>
    <w:link w:val="Titre8Car"/>
    <w:qFormat/>
    <w:rsid w:val="00FA2C61"/>
    <w:pPr>
      <w:numPr>
        <w:ilvl w:val="7"/>
        <w:numId w:val="1"/>
      </w:numPr>
      <w:outlineLvl w:val="7"/>
    </w:pPr>
    <w:rPr>
      <w:rFonts w:cs="Arial"/>
      <w:szCs w:val="22"/>
    </w:rPr>
  </w:style>
  <w:style w:type="paragraph" w:styleId="Titre9">
    <w:name w:val="heading 9"/>
    <w:basedOn w:val="Titre8"/>
    <w:next w:val="Normal"/>
    <w:link w:val="Titre9Car"/>
    <w:qFormat/>
    <w:rsid w:val="00FA2C61"/>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FA2C61"/>
    <w:rPr>
      <w:rFonts w:eastAsia="Times New Roman"/>
      <w:b/>
      <w:lang w:eastAsia="fr-FR"/>
    </w:rPr>
  </w:style>
  <w:style w:type="character" w:customStyle="1" w:styleId="Titre2Car">
    <w:name w:val="Titre 2 Car"/>
    <w:link w:val="Titre2"/>
    <w:rsid w:val="00FA2C61"/>
    <w:rPr>
      <w:rFonts w:eastAsia="Times New Roman"/>
      <w:b/>
      <w:lang w:eastAsia="fr-FR"/>
    </w:rPr>
  </w:style>
  <w:style w:type="character" w:customStyle="1" w:styleId="Titre3Car">
    <w:name w:val="Titre 3 Car"/>
    <w:link w:val="Titre3"/>
    <w:rsid w:val="00FA2C61"/>
    <w:rPr>
      <w:rFonts w:eastAsia="Times New Roman"/>
      <w:i/>
      <w:u w:val="single"/>
      <w:lang w:eastAsia="fr-FR"/>
    </w:rPr>
  </w:style>
  <w:style w:type="character" w:customStyle="1" w:styleId="Titre4Car">
    <w:name w:val="Titre 4 Car"/>
    <w:link w:val="Titre4"/>
    <w:rsid w:val="00FA2C61"/>
    <w:rPr>
      <w:rFonts w:eastAsia="Times New Roman"/>
      <w:b/>
      <w:lang w:eastAsia="fr-FR"/>
    </w:rPr>
  </w:style>
  <w:style w:type="character" w:customStyle="1" w:styleId="Titre5Car">
    <w:name w:val="Titre 5 Car"/>
    <w:link w:val="Titre5"/>
    <w:rsid w:val="00FA2C61"/>
    <w:rPr>
      <w:rFonts w:eastAsia="Times New Roman"/>
      <w:i/>
      <w:u w:val="single"/>
      <w:lang w:eastAsia="fr-FR"/>
    </w:rPr>
  </w:style>
  <w:style w:type="character" w:customStyle="1" w:styleId="Titre6Car">
    <w:name w:val="Titre 6 Car"/>
    <w:link w:val="Titre6"/>
    <w:rsid w:val="00FA2C61"/>
    <w:rPr>
      <w:rFonts w:eastAsia="Times New Roman"/>
      <w:i/>
      <w:u w:val="single"/>
      <w:lang w:eastAsia="fr-FR"/>
    </w:rPr>
  </w:style>
  <w:style w:type="character" w:customStyle="1" w:styleId="Titre7Car">
    <w:name w:val="Titre 7 Car"/>
    <w:link w:val="Titre7"/>
    <w:rsid w:val="00FA2C61"/>
    <w:rPr>
      <w:rFonts w:eastAsia="Times New Roman"/>
      <w:i/>
      <w:u w:val="single"/>
      <w:lang w:eastAsia="fr-FR"/>
    </w:rPr>
  </w:style>
  <w:style w:type="character" w:customStyle="1" w:styleId="Titre8Car">
    <w:name w:val="Titre 8 Car"/>
    <w:link w:val="Titre8"/>
    <w:rsid w:val="00FA2C61"/>
    <w:rPr>
      <w:rFonts w:eastAsia="Times New Roman"/>
      <w:lang w:eastAsia="fr-FR"/>
    </w:rPr>
  </w:style>
  <w:style w:type="character" w:customStyle="1" w:styleId="Titre9Car">
    <w:name w:val="Titre 9 Car"/>
    <w:link w:val="Titre9"/>
    <w:rsid w:val="00FA2C61"/>
    <w:rPr>
      <w:rFonts w:eastAsia="Times New Roman"/>
      <w:lang w:eastAsia="fr-FR"/>
    </w:rPr>
  </w:style>
  <w:style w:type="paragraph" w:customStyle="1" w:styleId="P2paragraphe2">
    <w:name w:val="P2 paragraphe 2"/>
    <w:rsid w:val="00FA2C61"/>
    <w:pPr>
      <w:autoSpaceDE w:val="0"/>
      <w:autoSpaceDN w:val="0"/>
      <w:spacing w:before="194" w:line="360" w:lineRule="auto"/>
      <w:ind w:left="851"/>
      <w:jc w:val="both"/>
    </w:pPr>
    <w:rPr>
      <w:rFonts w:ascii="Times New Roman" w:eastAsia="Times New Roman" w:hAnsi="Times New Roman" w:cs="Times New Roman"/>
    </w:rPr>
  </w:style>
  <w:style w:type="paragraph" w:customStyle="1" w:styleId="P1paragraphe1">
    <w:name w:val="P1 paragraphe 1"/>
    <w:rsid w:val="00FA2C61"/>
    <w:pPr>
      <w:autoSpaceDE w:val="0"/>
      <w:autoSpaceDN w:val="0"/>
      <w:spacing w:before="194" w:line="360" w:lineRule="auto"/>
      <w:ind w:left="284"/>
      <w:jc w:val="both"/>
    </w:pPr>
    <w:rPr>
      <w:rFonts w:ascii="Times New Roman" w:eastAsia="Times New Roman" w:hAnsi="Times New Roman" w:cs="Times New Roman"/>
    </w:rPr>
  </w:style>
  <w:style w:type="paragraph" w:customStyle="1" w:styleId="Style4">
    <w:name w:val="Style4"/>
    <w:basedOn w:val="Normal"/>
    <w:rsid w:val="00FA2C61"/>
    <w:pPr>
      <w:tabs>
        <w:tab w:val="num" w:pos="0"/>
      </w:tabs>
      <w:spacing w:before="120"/>
      <w:jc w:val="both"/>
    </w:pPr>
    <w:rPr>
      <w:rFonts w:cs="Arial"/>
      <w:szCs w:val="22"/>
    </w:rPr>
  </w:style>
  <w:style w:type="character" w:styleId="Lienhypertexte">
    <w:name w:val="Hyperlink"/>
    <w:uiPriority w:val="99"/>
    <w:rsid w:val="00FA2C61"/>
    <w:rPr>
      <w:color w:val="0000FF"/>
      <w:u w:val="single"/>
    </w:rPr>
  </w:style>
  <w:style w:type="paragraph" w:styleId="Titre">
    <w:name w:val="Title"/>
    <w:basedOn w:val="Normal"/>
    <w:next w:val="Normal"/>
    <w:link w:val="TitreCar"/>
    <w:uiPriority w:val="10"/>
    <w:qFormat/>
    <w:rsid w:val="00FA2C61"/>
    <w:pPr>
      <w:pBdr>
        <w:bottom w:val="single" w:sz="8" w:space="4" w:color="4F81BD"/>
      </w:pBdr>
      <w:spacing w:after="300"/>
      <w:contextualSpacing/>
    </w:pPr>
    <w:rPr>
      <w:rFonts w:ascii="Cambria" w:hAnsi="Cambria"/>
      <w:color w:val="17365D"/>
      <w:spacing w:val="5"/>
      <w:kern w:val="28"/>
      <w:sz w:val="52"/>
      <w:szCs w:val="52"/>
    </w:rPr>
  </w:style>
  <w:style w:type="character" w:customStyle="1" w:styleId="TitreCar">
    <w:name w:val="Titre Car"/>
    <w:link w:val="Titre"/>
    <w:uiPriority w:val="10"/>
    <w:rsid w:val="00FA2C61"/>
    <w:rPr>
      <w:rFonts w:ascii="Cambria" w:eastAsia="Times New Roman" w:hAnsi="Cambria" w:cs="Times New Roman"/>
      <w:color w:val="17365D"/>
      <w:spacing w:val="5"/>
      <w:kern w:val="28"/>
      <w:sz w:val="52"/>
      <w:szCs w:val="52"/>
      <w:lang w:eastAsia="fr-FR"/>
    </w:rPr>
  </w:style>
  <w:style w:type="character" w:styleId="Lienhypertextesuivivisit">
    <w:name w:val="FollowedHyperlink"/>
    <w:basedOn w:val="Policepardfaut"/>
    <w:uiPriority w:val="99"/>
    <w:semiHidden/>
    <w:unhideWhenUsed/>
    <w:rsid w:val="006D2D15"/>
    <w:rPr>
      <w:color w:val="800080" w:themeColor="followedHyperlink"/>
      <w:u w:val="single"/>
    </w:rPr>
  </w:style>
  <w:style w:type="paragraph" w:customStyle="1" w:styleId="Default">
    <w:name w:val="Default"/>
    <w:rsid w:val="00F31D3C"/>
    <w:pPr>
      <w:autoSpaceDE w:val="0"/>
      <w:autoSpaceDN w:val="0"/>
      <w:adjustRightInd w:val="0"/>
    </w:pPr>
    <w:rPr>
      <w:color w:val="000000"/>
      <w:sz w:val="24"/>
      <w:szCs w:val="24"/>
    </w:rPr>
  </w:style>
  <w:style w:type="paragraph" w:styleId="Textedebulles">
    <w:name w:val="Balloon Text"/>
    <w:basedOn w:val="Normal"/>
    <w:link w:val="TextedebullesCar"/>
    <w:uiPriority w:val="99"/>
    <w:semiHidden/>
    <w:unhideWhenUsed/>
    <w:rsid w:val="006A16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16E9"/>
    <w:rPr>
      <w:rFonts w:ascii="Segoe UI" w:eastAsia="Times New Roman" w:hAnsi="Segoe UI" w:cs="Segoe UI"/>
      <w:sz w:val="18"/>
      <w:szCs w:val="18"/>
    </w:rPr>
  </w:style>
  <w:style w:type="character" w:styleId="lev">
    <w:name w:val="Strong"/>
    <w:basedOn w:val="Policepardfaut"/>
    <w:uiPriority w:val="22"/>
    <w:qFormat/>
    <w:rsid w:val="00D63E19"/>
    <w:rPr>
      <w:b/>
      <w:bCs/>
    </w:rPr>
  </w:style>
  <w:style w:type="character" w:customStyle="1" w:styleId="left1">
    <w:name w:val="left1"/>
    <w:basedOn w:val="Policepardfaut"/>
    <w:rsid w:val="00D63E19"/>
  </w:style>
  <w:style w:type="character" w:customStyle="1" w:styleId="champ-oblig1">
    <w:name w:val="champ-oblig1"/>
    <w:basedOn w:val="Policepardfaut"/>
    <w:rsid w:val="00D63E19"/>
    <w:rPr>
      <w:rFonts w:ascii="Verdana" w:hAnsi="Verdana" w:hint="default"/>
      <w:b/>
      <w:bCs/>
      <w:strike w:val="0"/>
      <w:dstrike w:val="0"/>
      <w:color w:val="EE0000"/>
      <w:sz w:val="24"/>
      <w:szCs w:val="24"/>
      <w:u w:val="none"/>
      <w:effect w:val="none"/>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021846">
      <w:bodyDiv w:val="1"/>
      <w:marLeft w:val="0"/>
      <w:marRight w:val="0"/>
      <w:marTop w:val="0"/>
      <w:marBottom w:val="0"/>
      <w:divBdr>
        <w:top w:val="none" w:sz="0" w:space="0" w:color="auto"/>
        <w:left w:val="none" w:sz="0" w:space="0" w:color="auto"/>
        <w:bottom w:val="none" w:sz="0" w:space="0" w:color="auto"/>
        <w:right w:val="none" w:sz="0" w:space="0" w:color="auto"/>
      </w:divBdr>
      <w:divsChild>
        <w:div w:id="1804271834">
          <w:marLeft w:val="0"/>
          <w:marRight w:val="0"/>
          <w:marTop w:val="0"/>
          <w:marBottom w:val="0"/>
          <w:divBdr>
            <w:top w:val="none" w:sz="0" w:space="0" w:color="auto"/>
            <w:left w:val="none" w:sz="0" w:space="0" w:color="auto"/>
            <w:bottom w:val="none" w:sz="0" w:space="0" w:color="auto"/>
            <w:right w:val="none" w:sz="0" w:space="0" w:color="auto"/>
          </w:divBdr>
          <w:divsChild>
            <w:div w:id="1712027479">
              <w:marLeft w:val="0"/>
              <w:marRight w:val="0"/>
              <w:marTop w:val="0"/>
              <w:marBottom w:val="0"/>
              <w:divBdr>
                <w:top w:val="none" w:sz="0" w:space="0" w:color="auto"/>
                <w:left w:val="none" w:sz="0" w:space="0" w:color="auto"/>
                <w:bottom w:val="single" w:sz="6" w:space="0" w:color="FFFFFF"/>
                <w:right w:val="none" w:sz="0" w:space="0" w:color="auto"/>
              </w:divBdr>
              <w:divsChild>
                <w:div w:id="857237694">
                  <w:marLeft w:val="0"/>
                  <w:marRight w:val="0"/>
                  <w:marTop w:val="0"/>
                  <w:marBottom w:val="150"/>
                  <w:divBdr>
                    <w:top w:val="none" w:sz="0" w:space="0" w:color="auto"/>
                    <w:left w:val="none" w:sz="0" w:space="0" w:color="auto"/>
                    <w:bottom w:val="none" w:sz="0" w:space="0" w:color="auto"/>
                    <w:right w:val="none" w:sz="0" w:space="0" w:color="auto"/>
                  </w:divBdr>
                  <w:divsChild>
                    <w:div w:id="1341931389">
                      <w:marLeft w:val="0"/>
                      <w:marRight w:val="0"/>
                      <w:marTop w:val="0"/>
                      <w:marBottom w:val="0"/>
                      <w:divBdr>
                        <w:top w:val="none" w:sz="0" w:space="0" w:color="auto"/>
                        <w:left w:val="none" w:sz="0" w:space="0" w:color="auto"/>
                        <w:bottom w:val="none" w:sz="0" w:space="0" w:color="auto"/>
                        <w:right w:val="none" w:sz="0" w:space="0" w:color="auto"/>
                      </w:divBdr>
                    </w:div>
                    <w:div w:id="1464813692">
                      <w:marLeft w:val="0"/>
                      <w:marRight w:val="0"/>
                      <w:marTop w:val="0"/>
                      <w:marBottom w:val="0"/>
                      <w:divBdr>
                        <w:top w:val="none" w:sz="0" w:space="0" w:color="auto"/>
                        <w:left w:val="none" w:sz="0" w:space="0" w:color="auto"/>
                        <w:bottom w:val="none" w:sz="0" w:space="0" w:color="auto"/>
                        <w:right w:val="none" w:sz="0" w:space="0" w:color="auto"/>
                      </w:divBdr>
                      <w:divsChild>
                        <w:div w:id="813447420">
                          <w:marLeft w:val="0"/>
                          <w:marRight w:val="0"/>
                          <w:marTop w:val="0"/>
                          <w:marBottom w:val="0"/>
                          <w:divBdr>
                            <w:top w:val="none" w:sz="0" w:space="0" w:color="auto"/>
                            <w:left w:val="none" w:sz="0" w:space="0" w:color="auto"/>
                            <w:bottom w:val="none" w:sz="0" w:space="0" w:color="auto"/>
                            <w:right w:val="none" w:sz="0" w:space="0" w:color="auto"/>
                          </w:divBdr>
                        </w:div>
                        <w:div w:id="646008088">
                          <w:marLeft w:val="0"/>
                          <w:marRight w:val="0"/>
                          <w:marTop w:val="0"/>
                          <w:marBottom w:val="0"/>
                          <w:divBdr>
                            <w:top w:val="none" w:sz="0" w:space="0" w:color="auto"/>
                            <w:left w:val="none" w:sz="0" w:space="0" w:color="auto"/>
                            <w:bottom w:val="none" w:sz="0" w:space="0" w:color="auto"/>
                            <w:right w:val="none" w:sz="0" w:space="0" w:color="auto"/>
                          </w:divBdr>
                        </w:div>
                        <w:div w:id="1441530313">
                          <w:marLeft w:val="0"/>
                          <w:marRight w:val="0"/>
                          <w:marTop w:val="0"/>
                          <w:marBottom w:val="0"/>
                          <w:divBdr>
                            <w:top w:val="none" w:sz="0" w:space="0" w:color="auto"/>
                            <w:left w:val="none" w:sz="0" w:space="0" w:color="auto"/>
                            <w:bottom w:val="none" w:sz="0" w:space="0" w:color="auto"/>
                            <w:right w:val="none" w:sz="0" w:space="0" w:color="auto"/>
                          </w:divBdr>
                          <w:divsChild>
                            <w:div w:id="1092580479">
                              <w:marLeft w:val="0"/>
                              <w:marRight w:val="0"/>
                              <w:marTop w:val="0"/>
                              <w:marBottom w:val="0"/>
                              <w:divBdr>
                                <w:top w:val="none" w:sz="0" w:space="0" w:color="auto"/>
                                <w:left w:val="none" w:sz="0" w:space="0" w:color="auto"/>
                                <w:bottom w:val="none" w:sz="0" w:space="0" w:color="auto"/>
                                <w:right w:val="none" w:sz="0" w:space="0" w:color="auto"/>
                              </w:divBdr>
                            </w:div>
                          </w:divsChild>
                        </w:div>
                        <w:div w:id="2122138585">
                          <w:marLeft w:val="0"/>
                          <w:marRight w:val="0"/>
                          <w:marTop w:val="0"/>
                          <w:marBottom w:val="0"/>
                          <w:divBdr>
                            <w:top w:val="none" w:sz="0" w:space="0" w:color="auto"/>
                            <w:left w:val="none" w:sz="0" w:space="0" w:color="auto"/>
                            <w:bottom w:val="none" w:sz="0" w:space="0" w:color="auto"/>
                            <w:right w:val="none" w:sz="0" w:space="0" w:color="auto"/>
                          </w:divBdr>
                        </w:div>
                        <w:div w:id="1772046121">
                          <w:marLeft w:val="0"/>
                          <w:marRight w:val="0"/>
                          <w:marTop w:val="0"/>
                          <w:marBottom w:val="0"/>
                          <w:divBdr>
                            <w:top w:val="none" w:sz="0" w:space="0" w:color="auto"/>
                            <w:left w:val="none" w:sz="0" w:space="0" w:color="auto"/>
                            <w:bottom w:val="none" w:sz="0" w:space="0" w:color="auto"/>
                            <w:right w:val="none" w:sz="0" w:space="0" w:color="auto"/>
                          </w:divBdr>
                        </w:div>
                        <w:div w:id="2045861697">
                          <w:marLeft w:val="0"/>
                          <w:marRight w:val="0"/>
                          <w:marTop w:val="150"/>
                          <w:marBottom w:val="0"/>
                          <w:divBdr>
                            <w:top w:val="none" w:sz="0" w:space="0" w:color="auto"/>
                            <w:left w:val="none" w:sz="0" w:space="0" w:color="auto"/>
                            <w:bottom w:val="none" w:sz="0" w:space="0" w:color="auto"/>
                            <w:right w:val="none" w:sz="0" w:space="0" w:color="auto"/>
                          </w:divBdr>
                        </w:div>
                      </w:divsChild>
                    </w:div>
                    <w:div w:id="17419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cid:image007.jpg@01D53B26.5FBBB1F0"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cid:image003.jpg@01D53B26.5FBBB1F0" TargetMode="External"/><Relationship Id="rId5" Type="http://schemas.openxmlformats.org/officeDocument/2006/relationships/hyperlink" Target="https://www.marches-publics.gouv.fr"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1396</Words>
  <Characters>7681</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9059</CharactersWithSpaces>
  <SharedDoc>false</SharedDoc>
  <HLinks>
    <vt:vector size="12" baseType="variant">
      <vt:variant>
        <vt:i4>4325384</vt:i4>
      </vt:variant>
      <vt:variant>
        <vt:i4>3</vt:i4>
      </vt:variant>
      <vt:variant>
        <vt:i4>0</vt:i4>
      </vt:variant>
      <vt:variant>
        <vt:i4>5</vt:i4>
      </vt:variant>
      <vt:variant>
        <vt:lpwstr>http://www.telecom.gouv.fr/rubriques-menu/entreprises-economie-numerique/certificats-references-pris-v1/categories-familles-certificats-references-pris-v-1-506.html</vt:lpwstr>
      </vt:variant>
      <vt:variant>
        <vt:lpwstr/>
      </vt:variant>
      <vt:variant>
        <vt:i4>2949216</vt:i4>
      </vt:variant>
      <vt:variant>
        <vt:i4>0</vt:i4>
      </vt:variant>
      <vt:variant>
        <vt:i4>0</vt:i4>
      </vt:variant>
      <vt:variant>
        <vt:i4>5</vt:i4>
      </vt:variant>
      <vt:variant>
        <vt:lpwstr>https://avis-de-marches.cea.fr/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DANTEC Stéphane 211140</dc:creator>
  <cp:lastModifiedBy>PAYET Aymeric 232828</cp:lastModifiedBy>
  <cp:revision>13</cp:revision>
  <cp:lastPrinted>2017-07-19T08:47:00Z</cp:lastPrinted>
  <dcterms:created xsi:type="dcterms:W3CDTF">2019-07-04T11:57:00Z</dcterms:created>
  <dcterms:modified xsi:type="dcterms:W3CDTF">2024-03-05T13:50:00Z</dcterms:modified>
</cp:coreProperties>
</file>